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/>
    </w:p>
    <w:p>
      <w:pPr>
        <w:ind w:firstLine="709"/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highlight w:val="white"/>
        </w:rPr>
        <w:t xml:space="preserve">Пояснительная записка</w:t>
      </w:r>
      <w:r>
        <w:rPr>
          <w:rFonts w:ascii="Times New Roman" w:hAnsi="Times New Roman" w:eastAsia="Times New Roman" w:cs="Times New Roman"/>
          <w:b/>
          <w:sz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highlight w:val="whit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к отчёту о выполнении государственного задания государственным бюджетным учреждением Новосибирской области «Центр информационных технологий Новосибирской области» за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2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квартал 202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6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года</w:t>
      </w:r>
      <w:r>
        <w:rPr>
          <w:rFonts w:ascii="Times New Roman" w:hAnsi="Times New Roman" w:eastAsia="Times New Roman" w:cs="Times New Roman"/>
          <w:sz w:val="24"/>
          <w:highlight w:val="white"/>
        </w:rPr>
      </w:r>
      <w:r>
        <w:rPr>
          <w:rFonts w:ascii="Times New Roman" w:hAnsi="Times New Roman" w:eastAsia="Times New Roman" w:cs="Times New Roman"/>
          <w:sz w:val="24"/>
          <w:highlight w:val="whit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Во 2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квартале 202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года государственным бюджетным учреждением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Новосибирской области «Центр информационных технологий Новосибирской области»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проведены следующие мероприятия.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Раздел 1. Эксплуатация и сопровождение государственных информационных с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истем и информационных ресурсов, 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Новосибирской области и Правительства Новосибирской области.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i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</w:rPr>
        <w:t xml:space="preserve">Техническая поддержка государственных информационных систем, первая линия. Клиентское сопровождение пользователей.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i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Выполнена техническая поддержка 3 государственных информационных систем (далее-ГИС):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7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  <w:highlight w:val="white"/>
        </w:rPr>
        <w:t xml:space="preserve">ГИС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«Единая платформа официальных сайтов органов государственной власти Новосибирской области»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7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Система электронного доку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ментооборота и делопроизводства в Правительстве Новосибирской области;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7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Подсистемы регионального сегмента ГАС «Управление» Новосибирской области.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За 2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квартал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202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года в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highlight w:val="white"/>
        </w:rPr>
        <w:t xml:space="preserve">ГИС «Единая платформа официальных сайтов НСО»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и в системе электронного документооборота и делопроизводства Правительства Новосибирской области выполнена следующая работа: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12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Прием звонков пользователей;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12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Короткие консультации пользователей;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12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Регистрация и исполнение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пользователей.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Выполнено и закрыто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140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заяв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ок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в рамках технической поддержки государственных информационных систем.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За отчетный период в подсистеме регионального сегмента ГАС «Управление» Новосибирской области</w:t>
      </w:r>
      <w:r>
        <w:rPr>
          <w:rFonts w:ascii="Times New Roman" w:hAnsi="Times New Roman" w:eastAsia="Times New Roman" w:cs="Times New Roman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было заведено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нов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ы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пользовател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ей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 техническую поддержку выполненных работ входит: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46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консультирование пользователей по работе в Системе.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Работы по разделу эксплуатации и сопровождения государственных информационных систем и информационных рес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урсов, 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Новосибирской области и Правительства Новосибирской области выполнены в полном объеме.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Раздел 2. Эксплуатация и сопровождение государственных информационных с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истем и информационных ресурсов, 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Новосибирской области и Правительства Новосибирской области.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i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</w:rPr>
        <w:t xml:space="preserve">Техническая поддержка государственных информационных систем, вторая линия. 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i/>
          <w:sz w:val="24"/>
          <w:szCs w:val="24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i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</w:rPr>
        <w:t xml:space="preserve">Клиентское сопровождение пользователей.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i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За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2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квартал 202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года в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highlight w:val="white"/>
        </w:rPr>
        <w:t xml:space="preserve">ГИ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highlight w:val="white"/>
        </w:rPr>
        <w:t xml:space="preserve">С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«Единая платформа официальных сайтов органов государственной власти Новосибирской области»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highlight w:val="white"/>
        </w:rPr>
        <w:t xml:space="preserve"> (далее Платформа НСО)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выполнена техническая поддержка пользователей (836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 сайт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):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8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Официального сайта Губернатора Новосибирской области и Правительства Новосибирской области в сети Интернет.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8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Официальных сайтов областных исполнительных органов государственной власти Новосибирской области в сети Интернет.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8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Тематических сайтов Правительства Новосибирской области.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8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Сайтов муниципальных образований Новосибирской области.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 работу за отчетный период технической поддержки пользователей входит: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10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Консультирование пользователей по работе с сайтами.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10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Разбор инцидентов работы сайтов, связанных с некорректными действиями пользователей.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10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Обучение новых администраторов сайтов.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10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Заведение новых учетных записей для администраторов/редакторов сайтов.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10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Настройка прав для доступа к сайтам.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10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Подготовка новой технической документации для администраторов и редакторов сайтов.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10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Создание инцидентов и передача их ответственным для исправления некорректной работы сайтов.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10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Поддержка и актуализация четырех страниц официального сайта Губернатора Новосибирской области и Правительства Новосибирской области в сети Интернет: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8.1. Главная страница.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8.2. Страница администрации Губернатора и Правительства.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8.3. Страница областных исполнительных органов государственной власти.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8.4. Выполнение работ по разграничению полномочий и подведомственности.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За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квартал 202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года на Платформе НСО создано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12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новых сайт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ов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и проведено обучение ответственных лиц. За отчетный период зарегистрировано и закрыто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219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заяв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ок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Style w:val="1201"/>
        <w:tblW w:w="9345" w:type="dxa"/>
        <w:tblLayout w:type="fixed"/>
        <w:tblLook w:val="04A0" w:firstRow="1" w:lastRow="0" w:firstColumn="1" w:lastColumn="0" w:noHBand="0" w:noVBand="1"/>
      </w:tblPr>
      <w:tblGrid>
        <w:gridCol w:w="699"/>
        <w:gridCol w:w="5531"/>
        <w:gridCol w:w="3115"/>
      </w:tblGrid>
      <w:tr>
        <w:tblPrEx/>
        <w:trPr>
          <w:trHeight w:val="309"/>
        </w:trPr>
        <w:tc>
          <w:tcPr>
            <w:tcW w:w="69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№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553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Наименование учреждения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Сайт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/>
        <w:tc>
          <w:tcPr>
            <w:tcW w:w="69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 w:themeFill="background1"/>
            <w:tcW w:w="5531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МКУК «Красносибирское СКО»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311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563c1"/>
                <w:sz w:val="24"/>
                <w:szCs w:val="24"/>
                <w:highlight w:val="white"/>
                <w:u w:val="single"/>
              </w:rPr>
              <w:t xml:space="preserve">https://kr-sib-sko.nso.ru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69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5531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МКУК «Новорешетовское СКО»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311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hyperlink r:id="rId11" w:tooltip="https://novoreshsko.nso.ru" w:history="1">
              <w:r>
                <w:rPr>
                  <w:rFonts w:ascii="Times New Roman" w:hAnsi="Times New Roman" w:eastAsia="Times New Roman" w:cs="Times New Roman"/>
                  <w:color w:val="0563c1"/>
                  <w:sz w:val="24"/>
                  <w:szCs w:val="24"/>
                  <w:highlight w:val="white"/>
                  <w:u w:val="single"/>
                </w:rPr>
                <w:t xml:space="preserve">https://novoreshsko.nso.ru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69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5531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МКУК «Жуланское СКО»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311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hyperlink r:id="rId12" w:tooltip="https://zhulancko.nso.ru" w:history="1">
              <w:r>
                <w:rPr>
                  <w:rFonts w:ascii="Times New Roman" w:hAnsi="Times New Roman" w:eastAsia="Times New Roman" w:cs="Times New Roman"/>
                  <w:color w:val="0563c1"/>
                  <w:sz w:val="24"/>
                  <w:szCs w:val="24"/>
                  <w:highlight w:val="white"/>
                  <w:u w:val="single"/>
                </w:rPr>
                <w:t xml:space="preserve">https://zhulancko.nso.ru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69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5531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МБУ «КЦСОН Кольцово»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311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hyperlink r:id="rId13" w:tooltip="https://kolcson.nso.ru" w:history="1">
              <w:r>
                <w:rPr>
                  <w:rFonts w:ascii="Times New Roman" w:hAnsi="Times New Roman" w:eastAsia="Times New Roman" w:cs="Times New Roman"/>
                  <w:color w:val="0563c1"/>
                  <w:sz w:val="24"/>
                  <w:szCs w:val="24"/>
                  <w:highlight w:val="white"/>
                  <w:u w:val="single"/>
                </w:rPr>
                <w:t xml:space="preserve">https://kolcson.nso.ru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69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val="en-US"/>
              </w:rPr>
              <w:t xml:space="preserve">5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5531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МКУК «Решетовский клуб» Кочковского района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311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hyperlink r:id="rId14" w:tooltip="https://reshet-club.nso.ru" w:history="1">
              <w:r>
                <w:rPr>
                  <w:rFonts w:ascii="Times New Roman" w:hAnsi="Times New Roman" w:eastAsia="Times New Roman" w:cs="Times New Roman"/>
                  <w:color w:val="0563c1"/>
                  <w:sz w:val="24"/>
                  <w:szCs w:val="24"/>
                  <w:highlight w:val="white"/>
                  <w:u w:val="single"/>
                </w:rPr>
                <w:t xml:space="preserve">https://reshet-club.nso.ru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69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val="en-US"/>
              </w:rPr>
              <w:t xml:space="preserve">6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5531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ГАУ СО НСО «Областной комплексный центр социальной адаптации граждан»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311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hyperlink r:id="rId15" w:tooltip="https://okcsag.nso.ru" w:history="1">
              <w:r>
                <w:rPr>
                  <w:rFonts w:ascii="Times New Roman" w:hAnsi="Times New Roman" w:eastAsia="Times New Roman" w:cs="Times New Roman"/>
                  <w:color w:val="0563c1"/>
                  <w:sz w:val="24"/>
                  <w:szCs w:val="24"/>
                  <w:highlight w:val="white"/>
                  <w:u w:val="single"/>
                </w:rPr>
                <w:t xml:space="preserve">https://okcsag.nso.ru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69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7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5531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ГБПОУ НСО «Колыванский аграрный колледж»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311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hyperlink r:id="rId16" w:tooltip="https://ak-kolyvan.nso.ru" w:history="1">
              <w:r>
                <w:rPr>
                  <w:rFonts w:ascii="Times New Roman" w:hAnsi="Times New Roman" w:eastAsia="Times New Roman" w:cs="Times New Roman"/>
                  <w:color w:val="0563c1"/>
                  <w:sz w:val="24"/>
                  <w:szCs w:val="24"/>
                  <w:highlight w:val="white"/>
                  <w:u w:val="single"/>
                </w:rPr>
                <w:t xml:space="preserve">https://ak-kolyvan.nso.ru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69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8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5531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МКУК Морозовский ДК "Юность"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311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hyperlink r:id="rId17" w:tooltip="http://morozovodc.nso.ru" w:history="1">
              <w:r>
                <w:rPr>
                  <w:rFonts w:ascii="Times New Roman" w:hAnsi="Times New Roman" w:eastAsia="Times New Roman" w:cs="Times New Roman"/>
                  <w:color w:val="0563c1"/>
                  <w:sz w:val="24"/>
                  <w:szCs w:val="24"/>
                  <w:highlight w:val="white"/>
                  <w:u w:val="single"/>
                </w:rPr>
                <w:t xml:space="preserve">http://morozovodc.nso.ru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69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9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5531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МКУК «Крутологовский СДК»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311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hyperlink r:id="rId18" w:tooltip="https://krutologovosdk.nso.ru" w:history="1">
              <w:r>
                <w:rPr>
                  <w:rFonts w:ascii="Times New Roman" w:hAnsi="Times New Roman" w:eastAsia="Times New Roman" w:cs="Times New Roman"/>
                  <w:color w:val="0563c1"/>
                  <w:sz w:val="24"/>
                  <w:szCs w:val="24"/>
                  <w:highlight w:val="white"/>
                  <w:u w:val="single"/>
                </w:rPr>
                <w:t xml:space="preserve">https://krutologovosdk.nso.ru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69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10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5531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МКУК «Музей истории золотодобычи Маслянинского муниципального округа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311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hyperlink r:id="rId19" w:tooltip="https://mzd-masl.nso.ru" w:history="1">
              <w:r>
                <w:rPr>
                  <w:rFonts w:ascii="Times New Roman" w:hAnsi="Times New Roman" w:eastAsia="Times New Roman" w:cs="Times New Roman"/>
                  <w:color w:val="0563c1"/>
                  <w:sz w:val="24"/>
                  <w:szCs w:val="24"/>
                  <w:highlight w:val="white"/>
                  <w:u w:val="single"/>
                </w:rPr>
                <w:t xml:space="preserve">https://mzd-masl.nso.ru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69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11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5531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МКУК "Болотнинская ЦБС"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311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hyperlink r:id="rId20" w:tooltip="https://lib-bol.nso.ru" w:history="1">
              <w:r>
                <w:rPr>
                  <w:rFonts w:ascii="Times New Roman" w:hAnsi="Times New Roman" w:eastAsia="Times New Roman" w:cs="Times New Roman"/>
                  <w:color w:val="0563c1"/>
                  <w:sz w:val="24"/>
                  <w:szCs w:val="24"/>
                  <w:highlight w:val="white"/>
                  <w:u w:val="single"/>
                </w:rPr>
                <w:t xml:space="preserve">https://lib-bol.nso.ru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69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12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5531" w:type="dxa"/>
            <w:vAlign w:val="bottom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Муниципальное бюджетное учреждение «Централизованная Библиотечная Система города Бердска»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311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hyperlink r:id="rId21" w:tooltip="https://biblioberdsk.nso.ru" w:history="1">
              <w:r>
                <w:rPr>
                  <w:rFonts w:ascii="Times New Roman" w:hAnsi="Times New Roman" w:eastAsia="Times New Roman" w:cs="Times New Roman"/>
                  <w:color w:val="0563c1"/>
                  <w:sz w:val="24"/>
                  <w:szCs w:val="24"/>
                  <w:highlight w:val="white"/>
                  <w:u w:val="single"/>
                </w:rPr>
                <w:t xml:space="preserve">https://biblioberdsk.nso.ru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За отчетный период осуществлена техническая поддержка пользователей системы электронного документооборота и делопроизводства Правительства Новосибирской области (далее СЭДД ПНО). За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2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квартал 202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6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года было закрыто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10 601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заявка, з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арегистрировано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63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новых пользователей.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 состав выполненных заявок входит: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57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консультирование пользователей по работе в СЭДД ПНО;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57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настройка рабочего места СЭДД ПНО;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57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настройка мобильного рабочего места для руководителей высшего звена;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57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установка плагина на рабочем месте пользователя;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57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настройка замещения пользователей на период отпуска/командировки;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57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заведение новых сотрудников - пользователей СЭДД ПНО;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57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освобождение штатной единицы уволившихся сотрудников – пользователей СЭДД ПНО;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57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перевод сотрудников при смене подразделения;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57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корректировка данных при смене фамилии;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57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корректировка контактных данных (телефон, электронная почта, кабинет) пользователей ОИГВ;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57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актуализация списков рассылки;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57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актуализация перечня организаций – участников межведомственного электронного документооборота (далее МЭДО);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57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актуализация списков пользователей - сотрудников ОИГВ;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57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актуализация списков контактов пользователей мобильных рабочих мест;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57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настройка усиленной квалифицированной электронной подписи на мобильных рабочих местах пользователей;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57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подготовка учетных записей пользователей второго экземпляра системы для муниципальных образований Новосибирской области.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Кроме того, выполнено: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73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предоставление доступа пользователям подключенных к СЭДД подразделений;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73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тестирование обмена документами с подключенными организациями по средствам шлюза-интегратора;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73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организация обучения новых пользователей работе в СЭДД, проведения индивидуальных консультаций, по заявкам пользователей, и коллективных семинаров для пользователей подведомственных учреждений ОИГВ и муниципальных образований НСО;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73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сопоставление справочника организаций Правительства Новосибирской области со справочником сетевого справочного телефонного узла;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73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информирование пользователей об изменении функционала системы, плановых работах и пр.;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73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корректировка инструкций пользователя СЭДД Правительства Новосибирской области;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73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регулярный аудит полноты использования органами исполнительной государственной власти доступного функционала СЭДД Правительства Новосибирской области органами исполнительной государственной власти в своей работе;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73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аудит, предоставление/ограничение прав доступа пользователей в СЭДД Правительства Новосибирской области;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73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актуализация требований программно-аппаратных средств на серверах СЭДД Правительства Новосибирской области;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73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контроль за соблюдением политики паролей в СЭДД Правительства Новосибирской области;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73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обновление сертификатов пользователей мобильных рабочих мест СЭДД Правительства Новосибирской области.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За отчетный период в ГИС «Мониторинг информатизации» зарегистрировано и закрыто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15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заявок.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 техническую поддержку выполненных работ входит: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84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консультиров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ание пользователей по работе в 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истеме;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84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решение проб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лем пользователей при работе в 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истеме;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84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заведение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нов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ых сотрудников – пользователей 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истемы.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Работы по разделу эксплуатации и сопровождения государственных информационных систем и информационных рес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урсов, 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Новосибирской области и Правительства Новосибирской области выполнены в полном объеме.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i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Раздел 3. Эксплуатация и сопровождение государственных информационных с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истем и информационных ресурсов, 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Новосибирской области и Правительства Новосибирской области.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i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</w:rPr>
        <w:t xml:space="preserve">Техническая поддержка государственных информационных систем, третья линия.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</w:rPr>
        <w:t xml:space="preserve"> Клиентское сопровождение пользователей.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За отчетный период производил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ся мониторинг работоспособности 57 информационных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систем. В том числе осуществлена техническая поддержка информационных систем: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Основные выполненные работы по информационным системам за отчетный период: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206"/>
        <w:ind w:firstLine="426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 Медицинская информационная система Новосибирской области Единой государственной информационной системы в сфере здравоохранения Новосибирской области: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206"/>
        <w:numPr>
          <w:ilvl w:val="0"/>
          <w:numId w:val="101"/>
        </w:numPr>
        <w:ind w:left="0" w:firstLine="426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обсуждение архитектуры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новой платформы, аудит работы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206"/>
        <w:numPr>
          <w:ilvl w:val="0"/>
          <w:numId w:val="101"/>
        </w:numPr>
        <w:ind w:left="0" w:firstLine="426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проведение мероприятий по повышению производительности вычислительной инфраструктуры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206"/>
        <w:numPr>
          <w:ilvl w:val="0"/>
          <w:numId w:val="101"/>
        </w:numPr>
        <w:ind w:left="0" w:firstLine="426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подготовка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информации 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предложений по модернизации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оборудования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206"/>
        <w:ind w:firstLine="426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 w:bidi="ar-SA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 w:bidi="ar-SA"/>
        </w:rPr>
        <w:t xml:space="preserve">. Сервис защиты от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en-US" w:eastAsia="ru-RU" w:bidi="ar-SA"/>
        </w:rPr>
        <w:t xml:space="preserve">DDoS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 w:bidi="ar-SA"/>
        </w:rPr>
        <w:t xml:space="preserve"> с модулем от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en-US" w:eastAsia="ru-RU" w:bidi="ar-SA"/>
        </w:rPr>
        <w:t xml:space="preserve">Servicepipe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 w:bidi="ar-SA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 w:bidi="ar-SA"/>
        </w:rPr>
        <w:t xml:space="preserve">для нужд ГИС «Электронная школа»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 w:bidi="ar-SA"/>
        </w:rPr>
        <w:t xml:space="preserve">: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206"/>
        <w:ind w:firstLine="426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 w:bidi="ar-SA"/>
        </w:rPr>
        <w:t xml:space="preserve">- анализ логов безопасности.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206"/>
        <w:ind w:firstLine="426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Подсистема «Центральный архив медицинских изображений» единой государственной информационной системы в сфере здравоохранения Новосибирской области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 w:bidi="ar-SA"/>
        </w:rPr>
        <w:t xml:space="preserve">: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206"/>
        <w:ind w:firstLine="426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 w:bidi="ar-SA"/>
        </w:rPr>
        <w:t xml:space="preserve">- обслуживание сервера репликаций для данных ЦАМИ для исключения необходимости резервного копирования основного сервера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en-US" w:eastAsia="ru-RU" w:bidi="ar-SA"/>
        </w:rPr>
        <w:t xml:space="preserve">PACS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en-US" w:eastAsia="ru-RU" w:bidi="ar-SA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Анализ причин сбоев, техническая экспертиза действий подрядной организации в различных информационных системах, среди которых: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105"/>
        </w:numPr>
        <w:ind w:left="0" w:right="0" w:firstLine="850"/>
        <w:tabs>
          <w:tab w:val="left" w:pos="0" w:leader="none"/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государственная информационная система Новосибирской области «Электронная школа»; 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05"/>
        </w:numPr>
        <w:ind w:left="0" w:right="0" w:firstLine="850"/>
        <w:jc w:val="both"/>
        <w:tabs>
          <w:tab w:val="left" w:pos="0" w:leader="none"/>
          <w:tab w:val="left" w:pos="851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программно-аппаратный комплекс «Система видеонаблюдения и видеоаналитики Новосибирской области» центра обработки данных Правительства Новосибирской области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05"/>
        </w:numPr>
        <w:ind w:left="0" w:right="0" w:firstLine="850"/>
        <w:jc w:val="both"/>
        <w:tabs>
          <w:tab w:val="left" w:pos="0" w:leader="none"/>
          <w:tab w:val="left" w:pos="851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государственная информационная система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Новосибирской области «Территориальная информационная система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«Социальный портрет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гражданина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 Типизированное хранилище данных Новосибирской области»; 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05"/>
        </w:numPr>
        <w:ind w:left="0" w:right="0" w:firstLine="850"/>
        <w:jc w:val="both"/>
        <w:tabs>
          <w:tab w:val="left" w:pos="0" w:leader="none"/>
          <w:tab w:val="left" w:pos="851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государственная информационная система Новосибирской области «Региональная платформа координации работы служб и ведомств»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05"/>
        </w:numPr>
        <w:ind w:left="0" w:right="0" w:firstLine="850"/>
        <w:jc w:val="both"/>
        <w:tabs>
          <w:tab w:val="left" w:pos="0" w:leader="none"/>
          <w:tab w:val="left" w:pos="851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государственная информационная система Новосибирской области Центр приёма государственных услуг»;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05"/>
        </w:numPr>
        <w:ind w:left="0" w:right="0" w:firstLine="850"/>
        <w:jc w:val="both"/>
        <w:tabs>
          <w:tab w:val="left" w:pos="0" w:leader="none"/>
          <w:tab w:val="left" w:pos="851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государственная информационная система Новосибирской области Цифровая архивная платформа»;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05"/>
        </w:numPr>
        <w:ind w:left="0" w:right="0" w:firstLine="850"/>
        <w:jc w:val="both"/>
        <w:tabs>
          <w:tab w:val="left" w:pos="0" w:leader="none"/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государственная информационна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я система Новосибирской области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Электронный детский сад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05"/>
        </w:numPr>
        <w:ind w:left="0" w:right="0" w:firstLine="850"/>
        <w:jc w:val="both"/>
        <w:tabs>
          <w:tab w:val="left" w:pos="0" w:leader="none"/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г</w:t>
      </w:r>
      <w:hyperlink r:id="rId22" w:tooltip="https://eris.nso.ru/is/197" w:history="1">
        <w:r>
          <w:rPr>
            <w:rFonts w:ascii="Times New Roman" w:hAnsi="Times New Roman" w:eastAsia="Times New Roman" w:cs="Times New Roman"/>
            <w:sz w:val="24"/>
            <w:szCs w:val="24"/>
            <w:highlight w:val="white"/>
            <w:lang w:eastAsia="zh-CN" w:bidi="hi-IN"/>
          </w:rPr>
          <w:t xml:space="preserve">осударственная информационная система Новосибирской области «Электронный колледж»</w:t>
        </w:r>
      </w:hyperlink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05"/>
        </w:numPr>
        <w:ind w:left="0" w:right="0" w:firstLine="850"/>
        <w:jc w:val="both"/>
        <w:spacing w:after="0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модуль "Инспектирование жилищного фонда" ГИС НСО "ЕБИР"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Участие в разработке будущей архитектуры и параметров информационных систем: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114"/>
        </w:numPr>
        <w:ind w:left="0" w:firstLine="709"/>
        <w:tabs>
          <w:tab w:val="left" w:pos="0" w:leader="none"/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компонент «Медицинская информационная система Новосибирской области» Единой государственной информационной системы в сфере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здравоохранения Новосибирской области;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15"/>
        </w:numPr>
        <w:ind w:left="0" w:firstLine="360"/>
        <w:tabs>
          <w:tab w:val="left" w:pos="0" w:leader="none"/>
          <w:tab w:val="left" w:pos="851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государственная информационная система Новосибирской области «Центр приема государственных услуг»;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14"/>
        </w:numPr>
        <w:ind w:left="0" w:firstLine="709"/>
        <w:tabs>
          <w:tab w:val="left" w:pos="0" w:leader="none"/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государственная информационная система Новосибирской области «Электронная школа»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15"/>
        </w:numPr>
        <w:ind w:left="0" w:firstLine="360"/>
        <w:tabs>
          <w:tab w:val="left" w:pos="0" w:leader="none"/>
          <w:tab w:val="left" w:pos="851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единая государственная информационная система в сфере здравоохранения Министерства здравоохранения Российской Федерации, подсистема «Федеральная электронная регистратура» с использованием программного обеспечения «Витрина данных» в Новосибирской области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14"/>
        </w:numPr>
        <w:ind w:left="0" w:firstLine="709"/>
        <w:tabs>
          <w:tab w:val="left" w:pos="0" w:leader="none"/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государственная информационная система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Новосибирской области «Территориальная информационная система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«Социальный портрет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гражданина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 Типизированное хранилище данных Новосибирской области»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Экспертиза архитектуры и технических требований, подготовка и выделение технических ресурсов для следующих информационных систем: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117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автоматизированная телефонная станция Правительства Новосибирской области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17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компонент Единой государственной информационной системы в сфере здравоохранения Новосибирской области информационная система «Центральный Архив Медицинских Изображений»;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17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подсистема МАИС "Государственные и муниципальные услуги", "Контроль качества оказания услуг", "Конструирование реестров", "Конструирование запросов"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17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единая государственная информационная система в сфере здравоохранения Министерства здравоохранения Российской Федерации, подсистема «Федеральная электронная регистратура» с использованием программного обеспечения «Витрина данных» в Новосибирской области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17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государственная информационная система Новосибирской области «Региональная платформа координации работы служб и ведомств»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17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региональный сегмент ГАС Управление Новосибирской области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21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государственная информационная система электронного документооборота и делопроизводства Правительства Новосибирской области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21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государственная информационная система Новосибирской области "Единая цифровая платформа сферы физической культуры и спорта Новосибирской области "СТАТСПОРТ"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21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государственная информационная система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Новосибирской области «Территориальная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информационная система «Социальный портрет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гражданина и Типизированное хранилище данных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Новосибирской области»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121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компонент «Медицинская информационная система Новосибирской области» Единой государственной информационной системы здравоохранения Новосибирской области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21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государственная информационная система Новосибирской области «Электронная школа»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21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государственная информационная система Новосибирской области «Центр приёма государственных услуг»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21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государственная информационная система Новосибирской области «Система голосового самообслуживания»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21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государственная информационная система Новосибирской области «Электронный колледж»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21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государственная информационная система Новосибирской области «Государственная поддержка агропромышленного комплекса Новосибирской области»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21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государственная информационная система обеспечения градостроительной деятельности Новосибирской области с функциями автоматизированной информационно-аналитической поддержки осуществления полномочий в области градостроительной деятельности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21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голосовая клавиатура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21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информационные ресурсы ГКУ НСО «УКСис»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21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региональная система маркировки движения лекарственных препаратов Новосибирской области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21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мультимедийный архив Новосибирской области;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21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отдел проектов отраслевой цифровизации МЦ НСО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21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государственная информационная система Новосибирской области "Программный комплекс "Катарсис"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21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программное обеспечение по транскрибации записи (аудио видео)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21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служебные ВМ для нужд ЦЗИ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21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1С-Битрикс24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21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автоматизированная система создания и размещения цифрового наследия НСО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21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портал совместной работы "ПроектРПО"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21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система дистанционного обучения eLearning eClass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21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сервисы государственного автономного учреждения Новосибирской области «Многофункциональный центр организации предоставления государственных и муниципальных услуг Новосибирской области»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21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служебные ВМ, предназначенные для обеспечения функционирования ОСА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21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программно-аппаратный комплекс «Система видеонаблюдения и видеоаналитики Новосибирской области» центра обработки данных Правительства Новосибирской области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21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модуль "Инспектирование жилищного фонда" ГИС НСО "ЕБИР"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21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zh-CN" w:bidi="hi-IN"/>
        </w:rPr>
        <w:t xml:space="preserve">государственная информационная система в сфере закупок Новосибирской области.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left="0" w:right="0" w:firstLine="850"/>
        <w:jc w:val="both"/>
        <w:spacing w:after="0"/>
        <w:rPr>
          <w:rFonts w:ascii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white"/>
          <w:lang w:eastAsia="ru-RU"/>
        </w:rPr>
        <w:t xml:space="preserve">Обработка заявок пользователей, поступающих через систему управления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white"/>
          <w:lang w:eastAsia="ru-RU"/>
        </w:rPr>
        <w:t xml:space="preserve">заявками и инцидентами Service Desk за 2 квартал 2026 года – выполнено: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</w:p>
    <w:p>
      <w:pPr>
        <w:pStyle w:val="1179"/>
        <w:numPr>
          <w:ilvl w:val="0"/>
          <w:numId w:val="156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white"/>
        </w:rPr>
        <w:t xml:space="preserve">736 заявок;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1179"/>
        <w:numPr>
          <w:ilvl w:val="0"/>
          <w:numId w:val="157"/>
        </w:numPr>
        <w:ind w:left="0" w:right="0" w:firstLine="850"/>
        <w:tabs>
          <w:tab w:val="left" w:pos="993" w:leader="none"/>
        </w:tabs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white"/>
        </w:rPr>
        <w:t xml:space="preserve">        97 задач.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</w:r>
    </w:p>
    <w:p>
      <w:pPr>
        <w:pStyle w:val="1179"/>
        <w:ind w:left="0" w:firstLine="851"/>
        <w:jc w:val="both"/>
        <w:spacing w:after="0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 информационной системе государственной информационной системе «Контроль создано и настроено 6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учетных записей. Заблокировано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 информационной системе «Электронная де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мократия Новосибирской области»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создано и настроено 10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учетных запис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ей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Заблокировано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ind w:left="0" w:firstLine="851"/>
        <w:jc w:val="both"/>
        <w:spacing w:after="1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Работы по разделу эксплуата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ции 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сопровождения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государственных 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нформационных систем и информационных рес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урсов, 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Новосибирской области и Правительства Новосибирской области выполнены в полном объеме.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jc w:val="both"/>
        <w:spacing w:after="1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851"/>
        <w:jc w:val="both"/>
        <w:spacing w:after="1" w:line="240" w:lineRule="auto"/>
        <w:rPr>
          <w:rFonts w:ascii="Times New Roman" w:hAnsi="Times New Roman" w:cs="Times New Roman"/>
          <w:i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Раздел 4. Эксплуатация автоматических телефонных станций</w:t>
      </w:r>
      <w:r>
        <w:rPr>
          <w:rFonts w:ascii="Times New Roman" w:hAnsi="Times New Roman" w:eastAsia="Times New Roman" w:cs="Times New Roman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и контактных центров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i/>
          <w:sz w:val="24"/>
          <w:szCs w:val="24"/>
          <w:highlight w:val="white"/>
        </w:rPr>
      </w:r>
    </w:p>
    <w:p>
      <w:pPr>
        <w:ind w:firstLine="851"/>
        <w:jc w:val="both"/>
        <w:spacing w:after="1" w:line="240" w:lineRule="auto"/>
        <w:rPr>
          <w:rFonts w:ascii="Times New Roman" w:hAnsi="Times New Roman" w:cs="Times New Roman"/>
          <w:i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</w:rPr>
        <w:t xml:space="preserve">Обслуживание и обеспечение функционирования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</w:rPr>
        <w:t xml:space="preserve">техническая поддержка и модернизация автоматических телефонных станций и контактных.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i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За отчетный период на 9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автоматических телефонных станций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и контактных центров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проведены следующие работы: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1.Контакт-центр-122 (КЦ-122):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1.1.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Настроен и выдан новый телефонный аппарат взамен вышедшего из строя ГБУЗ НСО «ГКБ №2».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1.2. Выполнены работы по изменению маршрутизации до робота Николая.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1.3. Настройка доступа к КЦ-122 после изменения внешнего IP в Краснозёрной ЦРБ.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1.4. Запрос коммерческих предложений на поставку оборудования телефонной связи для КЦ-122.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1.5. Произведена замена гарнитуры для Баганской ЦРБ.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1.6. Выполнены работы по изменению в КЦ-122 параметров net_ticktime без остановки сервиса.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1.7. Выданы 2 гарнитуры в замен вышедшим из строя для ГП №18 и ЦРБ Убинское.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1.8. Подготовлен и отправлен список операторов КЦ-122.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 В Контакт-центре-103 единой диспетчерской службы скорой медицинской помощи (КЦ-103):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2.1. Проверка работоспособности системы после переноса стойки в другое здание (Коченёво).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2.2. Сопровождение работ по замене оборудования, контроль восстановления сервиса.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2.3. Выделение и настройка нового номера.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2.4. Перезагрузка после отключения электричества оборудование в ЦРБ Венгерово.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2.5. Пересозданы 12 операторов, которые не могли войти в КЦ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2.6. Восстановлена работа оборудования тау-32 в ЦРБ Чаны.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2.7. Подготовлена виртуальная машина для миграции сервиса, проведен успешный тестовый перевод одного района.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2.8. Диагностика непрохождения вызовов 103 в Краснозерке. После аварийного отключения электричества вышла из строя плата.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2.9. Перереключение сервисов на новую виртуальную машину согласно ранее отработанной схемы всех районов области и оборудования в г.Новосибирск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2.10. Переключение порта в ЦРБ Чистозёрное.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2.11. Создана заявка в Елтекс в связи с проблемой вызовов в Кольцово.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2.12. Проверка работоспособности прохождения звонков в Краснозёрном после замены платы.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2.13. Удалены старые логи для освобождения свободного места на диске.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 В телефонии Правительства Новосибирской области: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3.1. Настроено 2 новых номера на телефонные аппараты в ЦОДД.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3.2. Перенастроено и подключено 5 телефонных аппаратов в Службе-112 на Свердлова, 14.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3.3. Настроено ограничения входящих линий для городского номера приёмной Карасука.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3.4. Отключение и транспортировка шести телефонных аппаратов и голосового шлюза в рамках развертывания Центра контроля. Сброс и устранение неполадок в работе голосового шлюза Центра контроля.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3.5. В связи с перерасходом исходящего пакета минут в пункте отбора проведена работа для получения индивидуального предложения от поставщика услуг ВАТС - Ростелеком на пакет исходящей связи 15 000 минут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3.6. Подготовка документации на поставку гарнитур для ВСЦ (10 шт.)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3.7. Перенастроено и подключено 3 телефонных аппаратов после переезда на Свердлова, 14 для Службы-112.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3.8. Подготовлена новая версия регламента по Эксплуатации сети телефонной связи. Регламент приведен в соответствие с утвержденным регламентом по подключению услуг связи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3.9. Установка аппарата с выделением номера для ОТП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3.10. Организация и сопровождение переезда Министерства здравоохранения НСО с Красного проспекта, 18 на Каменскую, 3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3.11. Выделение двух номеров с предоставлением аппаратов для Министерства экономического развития НСО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3.12. Выделение номера с предоставлением аппаратов для Управления делами губернатора НСО и Правительства НСО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3.13. Сопровождение Прямой линии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3.14. Установка аппарата с выделением номера для Департамента  организации управления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3.15. Настройка нового телефонного аппарата Организатор перевозок и ГКУ НСО «ЦОиРУК»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3.16. Выделение двух номеров с предоставлением телефонных аппаратов для Министерства природных ресурсов и экологии НСО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3.17. Подготовка конфигурации, создание на АТС и настройка шести телефонных аппаратов с гарнитурами для Службы 112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3.18. Произведена оцифровка существующих виртуальных в Эрис. 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3.19. Запрос коммерческих предложений для поставки гарнитур для военного социального центра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3.20. Проведена работа по изучению архитектуры и логика работы программного обеспечения Filament.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3.21. Отработка замечаний Росстата по количеству АТС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3.22. Подготовка конфигурации, настройка и подключение двух телефонных аппаратов  с номерами ФСО для Службы 112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3.23. Написан скрипт по контролю и очистки переполняющихся логов приводящих к сбоям программного обеспечения ETCD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3.24. Обновлён до последней версии и перезагружен коммутатор в РЦОД. 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3.25. Настройка и подключение двух телефонных аппаратов для аппарата Теленчинова с выделением номеров и настройкой номеров ФСО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3.26. Проведение работ по подготовке к миграции ядра ECSS-10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3.27. Актуализирована стоимость услуг технической поддержки информационных систем (ТСМН, Яхонт, Приток-А)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3.28. Актуализированы характеристики и стоимость программного обеспечения “ESBC” на базе виртуализации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3.29. Подключение телефонной линии для факса мировым судьям Советского района.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3.30. Корректировка графиков загрузки каналов.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3.31. Выполнен перенос рассылки 4-х отчетов из Сфера в Мах.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3.32. Заявления на продление 4 (четырех) лицензий на оказание услуг связи подписаны на направлены на рассмотрение через личный кабинет РКН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3.33. Составлен список мероприятий Минцифры и ГБУ НСО «ЦИТ НСО», произведен расчет лимитов бюджета на 2027-2029 годы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3.34. Корректировки ООЗ на техническое сопровождение серверного программного обеспечения ТСМН и ТСКС.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3.35. Анализ шаблонов и узлов системы мониторинга для экспорта на новый сервер.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3.36. Установлены и сняты телефонные аппараты для мобилизационных учений.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3.37. Организация переезда аппарата Теленчинова с Красного проспекта, 18 на Максима Горького, 53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3.38. Восстановление работоспособности скрипта перезагрузки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3.39. Внесены изменения узлов мониторинга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3.40. Сопровождение учения «Управления по военно-мобилизационной работе»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3.41. Восстановление работоспособности скриптов «autonetbox», «autozabbix»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3.42. Создана статья «Скрипты ОТМУС», добавлена информация о работе трёх скриптов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3.43. Отработан порядок действий по самостоятельному изменению net_ticktime без перезагрузки.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3.44. Выполнена установка ECSS-10 версия 3.17. Начата работа по проработки миграции конфигурации, данных и сервиса на новую площадку без прерывания сервиса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3.45. Выделение номера с предоставлением аппарата для ГКУ НСО “ХОЗУ”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3.46. Выделение трех номеров с предоставлением аппаратов и консолей для Прохоренко и двух советников. Также перенесены и настроены два номера ФСО из Москвы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3.47. Совместно с ГБУ НСО «ЦЗИ НСО» и ОСА проведен аудит виртуальных машин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3.48. Организация переезда Министерства жилищно-коммунального хозяйства и энергетики НСО с Фрунзе, 5 на Максима Горького, 53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3.49. Предоставлены 4 аппарата для Администрации Губернатора НСО и Правительства НСО. Департамент контроля и документационного обеспечения с выделением и настройкой 4 номеров ФСО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3.50. Проведены работы по актуализации реформированного аппарата Первого заместителя Губернатора. Настройка панелей расширения сотрудников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3.51. Подготовка, программирование, установка факса для приемной Министерства регионального развития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3.52. Добавлена новая клавиша голосового меню на номере 117. Записаны новые реплики, добавлен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ы новые маршруты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ab/>
        <w:t xml:space="preserve">Работы по разделу эксплуатации автоматических телефонных станций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и контактных центров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выполнены в полном объеме.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1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Раздел 5. Эксплуатация средств IP-телефонии.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i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</w:rPr>
        <w:t xml:space="preserve">Обслуживание средств IP-телефонии. Клиентское сопровождение пользователей.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i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За отчетный период у 3 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748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средств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en-US"/>
        </w:rPr>
        <w:t xml:space="preserve">IP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-телефонии проведены следующие работы: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3"/>
          <w:numId w:val="10"/>
        </w:numPr>
        <w:ind w:left="0" w:firstLine="851"/>
        <w:jc w:val="both"/>
        <w:spacing w:after="0" w:line="240" w:lineRule="auto"/>
        <w:tabs>
          <w:tab w:val="left" w:pos="720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Устранен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ы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различны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неисправностей и выполнен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ы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настро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к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дополнительных услуг на телефонных аппаратах пользователей АТС Правительства НСО (7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30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заявок);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3"/>
          <w:numId w:val="10"/>
        </w:numPr>
        <w:ind w:left="0" w:firstLine="851"/>
        <w:jc w:val="both"/>
        <w:spacing w:after="0" w:line="240" w:lineRule="auto"/>
        <w:tabs>
          <w:tab w:val="left" w:pos="720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Установка и настройка телефонных аппаратов в областных исполнительных органах государственной власти (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12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шт.);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3"/>
          <w:numId w:val="10"/>
        </w:numPr>
        <w:ind w:left="0" w:firstLine="851"/>
        <w:jc w:val="both"/>
        <w:spacing w:after="0" w:line="240" w:lineRule="auto"/>
        <w:tabs>
          <w:tab w:val="left" w:pos="720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Установка и настройка телефонных аппаратов в государственных учреждениях Новосибирской области (14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шт.);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3"/>
          <w:numId w:val="10"/>
        </w:numPr>
        <w:ind w:left="0" w:firstLine="851"/>
        <w:jc w:val="both"/>
        <w:spacing w:after="0" w:line="240" w:lineRule="auto"/>
        <w:tabs>
          <w:tab w:val="left" w:pos="720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Обновление справочников абонентов АТС Правительства НСО.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tabs>
          <w:tab w:val="left" w:pos="720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Работы по разделу эксплуатации средств IP-телефонии выполнены в полном объеме.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tabs>
          <w:tab w:val="left" w:pos="720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1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Раздел 6.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Обеспечение функционирования технологического оборудования конференц-залов Правительства Новосибирской области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851"/>
        <w:jc w:val="both"/>
        <w:spacing w:after="1" w:line="240" w:lineRule="auto"/>
        <w:rPr>
          <w:rFonts w:ascii="Times New Roman" w:hAnsi="Times New Roman" w:cs="Times New Roman"/>
          <w:i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</w:rPr>
        <w:t xml:space="preserve">Техническое обеспечение проведения мероприятий в конференц-залах Правительства Нов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</w:rPr>
        <w:t xml:space="preserve">осибирской области.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i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За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2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квартал 202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года проведено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290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мероприяти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посредством мультимедийного оборудования в 2 залах Правительства Новосибирской области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(в большом и малом)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 В состав которых входит: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26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Церемония награждения по итогам проведения Десятой Всероссийской детской творческой школы-конкурса «Портрет твоего края» (07.04.2026).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26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Новосибирский медиафорум - 2026 (17.04.2026).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26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Заседание комиссии по развитию и внедрению технологий искусственного интеллекта в Новосибирской области (21.04.2026).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26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Торжественное открытие и стартовая сессия Сибирско-Дальневосточного аудиторского форума (23.04.2026).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26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Торжественная церемония награждения Губернатором победителей Всероссийских педагогических конкурсов (24.04.2026).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26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Региональный форум «Единая Россия» (29.04.2026).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26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Церемония награждения почетных доноров (29.04.2026).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26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Вручение государственных наград (30.04.2026).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26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Церемония вручения государственных наград РФ и ведомственных наград сотрудниками ГУ МВД (05.05.2026).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26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Заседание пленума ветеранов войны и труда, ВС и правоохранительных органов (20.05.2026).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26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Торжественная церемония награждения победителей конкурса «Директор года Сибири. Предприятие года Сибири за 2025 год» (20.05.2026).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26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Стратегическая сессия «Об увековечении памяти жертв геноцида советского народа в период ВОВ» (21.05.2026).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26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Церемония награждения победителей конкурса среди школьников (21.05.2026).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26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Церемония награждения «Успешные женщины Сибири» (22.05.2026).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26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Встреча Губернатора с активом Федерации профсоюзов НСО (26.05.2026).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26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Мобилизационные учения с областными исполнительными органами Новосибирской области (27.05.2026 - 29.05.2026).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26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Заседание Президиума Совета муниципальных образований Новосибирской области (27.05.2026).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26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Семинар-совещание с предпринимательским сообществом и церемония награждения лучших предпринимателей региона (28.05.2026).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26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Встреча Губернатора с представителями транспортно-логистического сообщества НСО (28.05.2026).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26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Торжественная церемония вручения знака «За материнскую доблесть» (01.06.2026).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26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Торжественное вручение дипломов участникам первого потока «Герои НовоСибири» (09.06.2026).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26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Торжественное мероприятие. День социального работника (09.06.2026).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26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Вручение паспортов «Мы граждане России» (10.06.2026).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26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Пленарное заседание форума «Сибирь-территория мужества» (11.06.2026).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26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Вручение государственных наград РФ (11.06.2026).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26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Пленарное заседание в рамках Ежегодного форума «Это Россия» (11.06.2026)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26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Вручение орденов мужества (12.06.2026).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26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День медицинского работника (17.06.2026).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26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Церемония вручения знаков отличия ВФСК ГТО (19.06.2026).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26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Первое пленарное заседание Общественной палаты (23.06.2026)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Также проведен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871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сеанс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видеоконференцсвязи в кабинетах здания Правительства Новосибирской области, в том числе личный прием граждан Губернатором Новосибирской области.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Работы по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разделу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Обеспечение функционирования технологического оборудования конференц-залов Правительства Новосибирской области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выполнены в полном объеме</w:t>
      </w:r>
      <w:r/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Раздел 7. Администрирование и техническая поддержка компьютерной техники, без материально-технического обеспечения. 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i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</w:rPr>
        <w:t xml:space="preserve">Техническая поддержка и обеспечение функционирования компьютерной техники без материально-технического обеспечения. Клиентское сопровождение пользователей.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i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За 2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квартал 202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года в рамках технической поддержки компьютерной и 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организационной техники на 2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264 автоматизированных р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абочих местах пользователей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выполнена </w:t>
      </w:r>
      <w:r>
        <w:rPr>
          <w:rFonts w:ascii="Times New Roman" w:hAnsi="Times New Roman" w:eastAsia="Times New Roman" w:cs="Times New Roman"/>
          <w:color w:val="1a1a1a"/>
          <w:sz w:val="21"/>
          <w:highlight w:val="white"/>
        </w:rPr>
        <w:t xml:space="preserve">5 170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заявок, поступившая через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Service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Desk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 состав работ по выполненным заявкам входит: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3"/>
          <w:numId w:val="10"/>
        </w:numPr>
        <w:ind w:left="0" w:firstLine="851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Устранение неисправностей на рабочем месте сотрудников при работе с компьютером.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2. Устранение неисправностей устройств вывода информации.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 Устранение сетевых неисправностей со стороны пользователя.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4. Настройка принтера на рабочем месте как локально, так и по сети.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5. Перенос персонального компьютера и оргтехники.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6. Чистка компьютерной техники.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7.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Установка программного обеспечения с последующей установкой персонального компьютера на рабочее место пользователя.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8. Установка специализированного программного обеспечения по желаниям пользователей (другой браузер, различные бесплатные приложения и т.д.).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9.  Организация удаленного доступа сотрудников областных исполнительных органов государственной власти Новосибирской области к внутренним ресурсам сети Правительства Новосибирской области, для обеспечения дистанционной работы.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Диагностика, обслуживание и ремонт принтеров и МФУ: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W w:w="9648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1679"/>
        <w:gridCol w:w="3633"/>
        <w:gridCol w:w="2798"/>
        <w:gridCol w:w="1538"/>
      </w:tblGrid>
      <w:tr>
        <w:tblPrEx/>
        <w:trPr>
          <w:trHeight w:val="60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79" w:type="dxa"/>
            <w:vAlign w:val="center"/>
            <w:textDirection w:val="lrTb"/>
            <w:noWrap w:val="false"/>
          </w:tcPr>
          <w:p>
            <w:pPr>
              <w:ind w:firstLine="37"/>
              <w:jc w:val="center"/>
              <w:spacing w:after="0" w:line="240" w:lineRule="auto"/>
              <w:widowControl w:val="off"/>
              <w:tabs>
                <w:tab w:val="left" w:pos="888" w:leader="none"/>
              </w:tabs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  <w:t xml:space="preserve">Название устройства</w:t>
            </w:r>
            <w:r>
              <w:rPr>
                <w:rFonts w:ascii="Times New Roman" w:hAnsi="Times New Roman" w:cs="Times New Roman"/>
                <w:b/>
                <w:bCs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highlight w:val="white"/>
              </w:rPr>
            </w:r>
          </w:p>
        </w:tc>
        <w:tc>
          <w:tcPr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W w:w="36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  <w:t xml:space="preserve">Назначение устройства</w:t>
            </w:r>
            <w:r>
              <w:rPr>
                <w:rFonts w:ascii="Times New Roman" w:hAnsi="Times New Roman" w:cs="Times New Roman"/>
                <w:b/>
                <w:bCs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highlight w:val="white"/>
              </w:rPr>
            </w:r>
          </w:p>
        </w:tc>
        <w:tc>
          <w:tcPr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W w:w="2798" w:type="dxa"/>
            <w:vAlign w:val="center"/>
            <w:textDirection w:val="lrTb"/>
            <w:noWrap w:val="false"/>
          </w:tcPr>
          <w:p>
            <w:pPr>
              <w:ind w:hanging="124"/>
              <w:jc w:val="center"/>
              <w:spacing w:after="0" w:line="240" w:lineRule="auto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  <w:t xml:space="preserve">Выполненные работы</w:t>
            </w:r>
            <w:r>
              <w:rPr>
                <w:rFonts w:ascii="Times New Roman" w:hAnsi="Times New Roman" w:cs="Times New Roman"/>
                <w:b/>
                <w:bCs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highlight w:val="white"/>
              </w:rPr>
            </w:r>
          </w:p>
        </w:tc>
        <w:tc>
          <w:tcPr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W w:w="15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  <w:t xml:space="preserve">Кол-во</w:t>
            </w:r>
            <w:r>
              <w:rPr>
                <w:rFonts w:ascii="Times New Roman" w:hAnsi="Times New Roman" w:cs="Times New Roman"/>
                <w:b/>
                <w:bCs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highlight w:val="white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67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235" w:lineRule="atLeast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XEROX 3345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63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235" w:lineRule="atLeast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Многофункциональное 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79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235" w:lineRule="atLeast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Профилактическая чистка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53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235" w:lineRule="atLeast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5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67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235" w:lineRule="atLeast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Brother 8690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63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235" w:lineRule="atLeast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Многофункциональное 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79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235" w:lineRule="atLeast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Профилактическая чистка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53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235" w:lineRule="atLeast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67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235" w:lineRule="atLeast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Brother 8690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63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235" w:lineRule="atLeast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Многофункциональное 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79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235" w:lineRule="atLeast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Очистка роликов захвата бумаги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53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235" w:lineRule="atLeast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613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67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235" w:lineRule="atLeast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Brother 5750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63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235" w:lineRule="atLeast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Многофункциональное 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79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235" w:lineRule="atLeast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Профилактическая чистка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53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235" w:lineRule="atLeast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20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553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67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235" w:lineRule="atLeast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Brother 5750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63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235" w:lineRule="atLeast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Многофункциональное 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79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235" w:lineRule="atLeast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Очистка роликов захвата бумаги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53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235" w:lineRule="atLeast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10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67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235" w:lineRule="atLeast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Pantum 5106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63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235" w:lineRule="atLeast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Многофункциональное 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79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235" w:lineRule="atLeast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Очистка роликов захвата бумаги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53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235" w:lineRule="atLeast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15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724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67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235" w:lineRule="atLeast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Pantum 5106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63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235" w:lineRule="atLeast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Многофункциональное 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79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235" w:lineRule="atLeast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Профилактическая чистка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53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235" w:lineRule="atLeast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8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525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highlight w:val="white"/>
              </w:rPr>
              <w:t xml:space="preserve">Итого</w:t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8" w:type="dxa"/>
            <w:vAlign w:val="center"/>
            <w:textDirection w:val="lrTb"/>
            <w:noWrap w:val="false"/>
          </w:tcPr>
          <w:p>
            <w:pPr>
              <w:ind w:firstLine="570"/>
              <w:jc w:val="both"/>
              <w:spacing w:after="0" w:line="240" w:lineRule="auto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highlight w:val="white"/>
              </w:rPr>
              <w:t xml:space="preserve">61</w:t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</w:tc>
      </w:tr>
    </w:tbl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Работы по разделу администрирования и технической поддержки компьютерной техники, без материально-технического обеспечения выполнены в полном объеме.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1" w:line="240" w:lineRule="auto"/>
        <w:rPr>
          <w:rFonts w:ascii="Times New Roman" w:hAnsi="Times New Roman" w:cs="Times New Roman"/>
          <w:b/>
          <w:highlight w:val="white"/>
        </w:rPr>
      </w:pPr>
      <w:r>
        <w:rPr>
          <w:rFonts w:ascii="Times New Roman" w:hAnsi="Times New Roman" w:eastAsia="Times New Roman" w:cs="Times New Roman"/>
          <w:b/>
          <w:highlight w:val="white"/>
        </w:rPr>
        <w:t xml:space="preserve">Раздел 8. Техническое администрирование, поддержка серверного оборудования единой информационно-коммуникационной сети Правительства Новосибирской области.</w:t>
      </w:r>
      <w:r>
        <w:rPr>
          <w:rFonts w:ascii="Times New Roman" w:hAnsi="Times New Roman" w:cs="Times New Roman"/>
          <w:b/>
          <w:highlight w:val="white"/>
        </w:rPr>
      </w:r>
      <w:r>
        <w:rPr>
          <w:rFonts w:ascii="Times New Roman" w:hAnsi="Times New Roman" w:cs="Times New Roman"/>
          <w:b/>
          <w:highlight w:val="white"/>
        </w:rPr>
      </w:r>
    </w:p>
    <w:p>
      <w:pPr>
        <w:ind w:firstLine="851"/>
        <w:jc w:val="both"/>
        <w:spacing w:after="1" w:line="240" w:lineRule="auto"/>
        <w:rPr>
          <w:rFonts w:ascii="Times New Roman" w:hAnsi="Times New Roman" w:cs="Times New Roman"/>
          <w:i/>
          <w:highlight w:val="white"/>
        </w:rPr>
      </w:pPr>
      <w:r>
        <w:rPr>
          <w:rFonts w:ascii="Times New Roman" w:hAnsi="Times New Roman" w:eastAsia="Times New Roman" w:cs="Times New Roman"/>
          <w:i/>
          <w:highlight w:val="white"/>
        </w:rPr>
        <w:t xml:space="preserve">Обслуживание и обеспечение функционирования серверного оборудования.</w:t>
      </w:r>
      <w:r>
        <w:rPr>
          <w:rFonts w:ascii="Times New Roman" w:hAnsi="Times New Roman" w:cs="Times New Roman"/>
          <w:i/>
          <w:highlight w:val="white"/>
        </w:rPr>
      </w:r>
      <w:r>
        <w:rPr>
          <w:rFonts w:ascii="Times New Roman" w:hAnsi="Times New Roman" w:cs="Times New Roman"/>
          <w:i/>
          <w:highlight w:val="white"/>
        </w:rPr>
      </w:r>
    </w:p>
    <w:p>
      <w:pPr>
        <w:jc w:val="both"/>
        <w:spacing w:after="0" w:line="240" w:lineRule="auto"/>
        <w:tabs>
          <w:tab w:val="left" w:pos="2694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highlight w:val="white"/>
        </w:rPr>
        <w:t xml:space="preserve">За отчетный период проведены следующие работы: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1179"/>
        <w:numPr>
          <w:ilvl w:val="0"/>
          <w:numId w:val="3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highlight w:val="white"/>
        </w:rPr>
        <w:t xml:space="preserve">Техническое администрировани</w:t>
      </w:r>
      <w:r>
        <w:rPr>
          <w:rFonts w:ascii="Times New Roman" w:hAnsi="Times New Roman" w:eastAsia="Times New Roman" w:cs="Times New Roman"/>
          <w:highlight w:val="white"/>
        </w:rPr>
        <w:t xml:space="preserve">е,</w:t>
      </w:r>
      <w:r>
        <w:rPr>
          <w:rFonts w:ascii="Times New Roman" w:hAnsi="Times New Roman" w:eastAsia="Times New Roman" w:cs="Times New Roman"/>
          <w:highlight w:val="white"/>
        </w:rPr>
        <w:t xml:space="preserve"> поддержка серверного оборудования единой информационно-коммуникационной сети Правительства Новосибирской области (330 единиц).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1179"/>
        <w:numPr>
          <w:ilvl w:val="0"/>
          <w:numId w:val="3"/>
        </w:numPr>
        <w:ind w:left="0" w:firstLine="851"/>
        <w:jc w:val="both"/>
        <w:spacing w:after="0" w:line="276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Размещение информационных систем и предоставление вычислительных ресурсов в центре обработки данных Правительства Новосибирской области по поступившим в отчетном периоде 73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заявк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ам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W w:w="92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6"/>
        <w:gridCol w:w="4437"/>
        <w:gridCol w:w="2617"/>
        <w:gridCol w:w="763"/>
        <w:gridCol w:w="815"/>
      </w:tblGrid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№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7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Информационная система \ Инициатор запроса на предоставление ресурсов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7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Вид работ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Ед. изм.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Кол-во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6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1"/>
              </w:numPr>
              <w:ind w:left="785"/>
              <w:jc w:val="center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Автоматизированная телефонная станция Правительства Новосибирской области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Предоставление вычислительных ресурсов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ЭР-13331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88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6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1"/>
              </w:numPr>
              <w:ind w:left="785"/>
              <w:spacing w:after="20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Компонент Единой государственной информационной системы в сфере здравоохранения Новосибирской области информационная система «Центральный Архив Медицинских Изображений»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Предоставление вычислительных ресурсов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ЭР-11684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en-US"/>
              </w:rPr>
              <w:t xml:space="preserve">1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6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1"/>
              </w:numPr>
              <w:ind w:left="785"/>
              <w:spacing w:after="20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Подсистема МАИС "Государственные и муниципальные услуги", "Контроль качества оказания услуг", "Конструирование реестров", "Конструирование запросов"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Предоставление вычислительных ресурсов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ЭР-12862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ЭР-12542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ЭР-12010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en-US"/>
              </w:rPr>
              <w:t xml:space="preserve">3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6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1"/>
              </w:numPr>
              <w:ind w:left="785"/>
              <w:spacing w:after="20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Единая государственная информационная система в сфере здравоохранения Министерства здравоохранения Российской Федерации, подсистема «Федеральная электронная регистратура» с использованием программного обеспечения «Витрина данных» в Новосибирской области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Предоставление вычислительных ресурсов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ЭР-12490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en-US"/>
              </w:rPr>
              <w:t xml:space="preserve">1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6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1"/>
              </w:numPr>
              <w:ind w:left="785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Государственная информационная система Новосибирской области «Региональная платформа координации работы служб и ведомств»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Предоставление вычислительных ресурсов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ЭР-13113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83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6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1"/>
              </w:numPr>
              <w:ind w:left="785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Региональный сегмент ГАС Управление Новосибирской области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Предоставление вычислительных ресурсов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ЭР-11901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en-US"/>
              </w:rPr>
              <w:t xml:space="preserve">1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>
          <w:trHeight w:val="82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6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1"/>
              </w:numPr>
              <w:ind w:left="785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Государственная информационная система электронного документооборота и делопроизводства Правительства Новосибирской области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Предоставление вычислительных ресурсов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ЭР-13646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ЭР-13600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ЭР-13822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ЭР-13176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ЭР-13071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ЭР-12966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ЭР-12876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ЭР-12836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ЭР-12516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ЭР-12494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ЭР-12092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ЭР-11702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en-US"/>
              </w:rPr>
              <w:t xml:space="preserve">12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>
          <w:trHeight w:val="92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6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1"/>
              </w:numPr>
              <w:ind w:left="785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Государственная информационная система Новосибирской области "Единая цифровая платформа сферы физической культуры и спорта Новосибирской области "СТАТСПОРТ"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Предоставление вычислительных ресурсов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ЭР-12335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8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6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1"/>
              </w:numPr>
              <w:ind w:left="785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Государственная информационная система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br/>
              <w:t xml:space="preserve">Новосибирской области «Территориальная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br/>
              <w:t xml:space="preserve">информационная система «Социальный портрет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br/>
              <w:t xml:space="preserve">гражданина и Типизированное хранилище данных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br/>
              <w:t xml:space="preserve">Новосибирской области»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Предоставление вычислительных ресурсов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ЭР-11954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ЭР-13078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en-US"/>
              </w:rPr>
              <w:t xml:space="preserve">2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>
          <w:trHeight w:val="8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6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1"/>
              </w:numPr>
              <w:ind w:left="785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Компонент «Медицинская информационная система Новосибирской области» Единой государственной информационной системы здравоохранения Новосибирской области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Предоставление вычислительных ресурсов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ЭР-13631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ЭР-13339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ЭР-13272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ЭР-13283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ЭР-12627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ЭР-12854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ЭР-12951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ЭР-12125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en-US"/>
              </w:rPr>
              <w:t xml:space="preserve">8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6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1"/>
              </w:numPr>
              <w:ind w:left="785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Государственная информационная система Новосибирской области «Электронная школа»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Предоставление вычислительных ресурсов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ЭР-12569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ЭР-11681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en-US"/>
              </w:rPr>
              <w:t xml:space="preserve">2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>
          <w:trHeight w:val="89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6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1"/>
              </w:numPr>
              <w:ind w:left="785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Государственная информационная система Новосибирской области «Центр приёма государственных услуг»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Предоставление вычислительных ресурсов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ЭР-13254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ЭР-12731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ЭР-12341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ЭР-12305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ЭР-12103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ЭР-11958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ЭР-11798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7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6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1"/>
              </w:numPr>
              <w:ind w:left="785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Государственная информационная система Новосибирской области «Система голосового самообслуживания»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Предоставление вычислительных ресурсов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2994/32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en-US"/>
              </w:rPr>
              <w:t xml:space="preserve">1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>
          <w:trHeight w:val="63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6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1"/>
              </w:numPr>
              <w:ind w:left="785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Государственная информационная система Новосибирской области «Электронный колледж»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Предоставление вычислительных ресурсов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ЭР-13334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en-US"/>
              </w:rPr>
              <w:t xml:space="preserve">1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6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1"/>
              </w:numPr>
              <w:ind w:left="785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Государственная информационная система Новосибирской области «Государственная поддержка агропромышленного комплекса Новосибирской области»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Предоставление вычислительных ресурсов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ЭР-12626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6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1"/>
              </w:numPr>
              <w:ind w:left="785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Государственная информационная система обеспечения градостроительной деятельности Новосибирской области с функциями автоматизированной информационно-аналитической поддержки осуществления полномочий в области градостроительной деятельности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Предоставление вычислительных ресурсов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ЭР-12867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en-US"/>
              </w:rPr>
              <w:t xml:space="preserve">1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6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1"/>
              </w:numPr>
              <w:ind w:left="785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Голосовая клавиатура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Предоставление вычислительных ресурсов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ЭР-12549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6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1"/>
              </w:numPr>
              <w:ind w:left="785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Информационные ресурсы ГКУ НСО «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УКСис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»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Предоставление вычислительных ресурсов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ЭР-13507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6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1"/>
              </w:numPr>
              <w:ind w:left="785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Региональная система маркировки движения лекарственных препаратов Новосибирской области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Предоставление вычислительных ресурсов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ЭР-11940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6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1"/>
              </w:numPr>
              <w:ind w:left="785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Мультимедийный архив Новосибирской области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Предоставление вычислительных ресурсов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ЭР-13332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ЭР-12247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en-US"/>
              </w:rPr>
              <w:t xml:space="preserve">2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6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1"/>
              </w:numPr>
              <w:ind w:left="785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Отдел проектов отраслевой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цифровизации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 МЦ НСО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Предоставление вычислительных ресурсов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ЭР-13761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ЭР-12293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ЭР-11711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6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1"/>
              </w:numPr>
              <w:ind w:left="785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Государственная информационная система Новосибирской области "Программный комплекс "Катарсис"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Предоставление вычислительных ресурсов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ЭР-12231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6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1"/>
              </w:numPr>
              <w:ind w:left="785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програм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ное обеспечение по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транскрибации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 записи (аудио видео)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Предоставление вычислительных ресурсов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ЭР-12496</w:t>
            </w:r>
            <w:r>
              <w:rPr>
                <w:rFonts w:ascii="Times New Roman" w:hAnsi="Times New Roman" w:cs="Times New Roman"/>
                <w:color w:val="000000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6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1"/>
              </w:numPr>
              <w:ind w:left="785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Служебные ВМ для нужд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ЦЗИ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Предоставление вычислительных ресурсов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ЭР-13438</w:t>
            </w:r>
            <w:r>
              <w:rPr>
                <w:rFonts w:ascii="Times New Roman" w:hAnsi="Times New Roman" w:cs="Times New Roman"/>
                <w:color w:val="000000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ЭР-13324</w:t>
            </w:r>
            <w:r>
              <w:rPr>
                <w:rFonts w:ascii="Times New Roman" w:hAnsi="Times New Roman" w:cs="Times New Roman"/>
                <w:color w:val="000000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ЭР-12791</w:t>
            </w:r>
            <w:r>
              <w:rPr>
                <w:rFonts w:ascii="Times New Roman" w:hAnsi="Times New Roman" w:cs="Times New Roman"/>
                <w:color w:val="000000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ЭР-12139</w:t>
            </w:r>
            <w:r>
              <w:rPr>
                <w:rFonts w:ascii="Times New Roman" w:hAnsi="Times New Roman" w:cs="Times New Roman"/>
                <w:color w:val="000000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ЭР-12132</w:t>
            </w:r>
            <w:r>
              <w:rPr>
                <w:rFonts w:ascii="Times New Roman" w:hAnsi="Times New Roman" w:cs="Times New Roman"/>
                <w:color w:val="000000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ЭР-12212</w:t>
            </w:r>
            <w:r>
              <w:rPr>
                <w:rFonts w:ascii="Times New Roman" w:hAnsi="Times New Roman" w:cs="Times New Roman"/>
                <w:color w:val="000000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84-26/32-ЦЗИ-Вн</w:t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bookmarkEnd w:id="0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7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6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1"/>
              </w:numPr>
              <w:ind w:left="785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1С-Битрикс24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Предоставление вычислительных ресурсов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ЭР-12576</w:t>
            </w:r>
            <w:r>
              <w:rPr>
                <w:rFonts w:ascii="Times New Roman" w:hAnsi="Times New Roman" w:cs="Times New Roman"/>
                <w:color w:val="000000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6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1"/>
              </w:numPr>
              <w:ind w:left="785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Автоматизированная система создания и размещения цифрового наследия НСО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Предоставление вычислительных ресурсов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ЭР-12303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en-US"/>
              </w:rPr>
              <w:t xml:space="preserve">1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6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1"/>
              </w:numPr>
              <w:ind w:left="785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Портал совместной работы "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ПроектРПО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"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Предоставление вычислительных ресурсов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ЭР-12514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6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1"/>
              </w:numPr>
              <w:ind w:left="785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Система дистанционного обучения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eLearning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eClass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Предоставление вычислительных ресурсов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ЭР-12313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6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1"/>
              </w:numPr>
              <w:ind w:left="785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Сервисы государственного автономного учреждения Новосибирской области «Многофункциональный центр организации предоставления государственных и муниципальных услуг Новосибирской области»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Предоставление вычислительных ресурсов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ЭР-12285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6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1"/>
              </w:numPr>
              <w:ind w:left="785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Служебные ВМ, предназначенные для обеспечения функционирования ОСА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Предоставление вычислительных ресурсов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ЭР-12300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6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1"/>
              </w:numPr>
              <w:ind w:left="785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Программно-аппаратный комплекс «Система видеонаблюдения 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видеоаналитики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 Новосибирской области» центра обработки данных Правительства Новосибирской области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Предоставление вычислительных ресурсов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ЭР-12501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6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1"/>
              </w:numPr>
              <w:ind w:left="785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Модуль "Инспектирование жилищного фонда" ГИС НСО "ЕБИР"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Предоставление вычислительных ресурсов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837/48-07-Вн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en-US"/>
              </w:rPr>
              <w:t xml:space="preserve">1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6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1"/>
              </w:numPr>
              <w:ind w:left="785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Государственная информационная система в сфере закупок Новосибирской области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Предоставление вычислительных ресурсов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ЭР-13626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ЭР-12254</w:t>
            </w:r>
            <w:r>
              <w:rPr>
                <w:rFonts w:ascii="Times New Roman" w:hAnsi="Times New Roman" w:cs="Times New Roman"/>
                <w:color w:val="000000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03-06/117/59-Вн</w:t>
            </w:r>
            <w:r>
              <w:rPr>
                <w:rFonts w:ascii="Times New Roman" w:hAnsi="Times New Roman" w:cs="Times New Roman"/>
                <w:color w:val="000000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03-06/124/59-Вн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en-US"/>
              </w:rPr>
              <w:t xml:space="preserve">4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6" w:type="dxa"/>
            <w:textDirection w:val="lrTb"/>
            <w:noWrap w:val="false"/>
          </w:tcPr>
          <w:p>
            <w:pPr>
              <w:jc w:val="both"/>
              <w:spacing w:after="0" w:line="276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17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highlight w:val="white"/>
              </w:rPr>
              <w:t xml:space="preserve">Итого</w:t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highlight w:val="white"/>
                <w:lang w:val="en-US"/>
              </w:rPr>
              <w:t xml:space="preserve">73</w:t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</w:tc>
      </w:tr>
    </w:tbl>
    <w:p>
      <w:pPr>
        <w:pStyle w:val="1179"/>
        <w:numPr>
          <w:ilvl w:val="0"/>
          <w:numId w:val="3"/>
        </w:numPr>
        <w:ind w:left="0" w:firstLine="851"/>
        <w:jc w:val="both"/>
        <w:spacing w:after="0" w:line="276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Устранение неисправности обслуживаемого оборудования в центре обработки данных Правительства Новосибирской области (23 неисправности).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W w:w="91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1"/>
        <w:gridCol w:w="3868"/>
        <w:gridCol w:w="3079"/>
        <w:gridCol w:w="808"/>
        <w:gridCol w:w="792"/>
      </w:tblGrid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№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Тип устройства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307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Вид работ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Ед. изм.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Кол-во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>
          <w:trHeight w:val="56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4"/>
              </w:numPr>
              <w:ind w:left="764"/>
              <w:jc w:val="center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СХД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 YADRO TATLIN UNIFIED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79" w:type="dxa"/>
            <w:textDirection w:val="lrTb"/>
            <w:noWrap w:val="false"/>
          </w:tcPr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Устранение неисправностей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01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.2026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INC633062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8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539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4"/>
              </w:numPr>
              <w:ind w:left="764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68" w:type="dxa"/>
            <w:textDirection w:val="lrTb"/>
            <w:noWrap w:val="false"/>
          </w:tcPr>
          <w:p>
            <w:pPr>
              <w:jc w:val="center"/>
              <w:tabs>
                <w:tab w:val="left" w:pos="1195" w:leader="none"/>
              </w:tabs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СХД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  <w:lang w:eastAsia="ru-RU"/>
              </w:rPr>
              <w:t xml:space="preserve">AERODISK VOSTOK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79" w:type="dxa"/>
            <w:textDirection w:val="lrTb"/>
            <w:noWrap w:val="false"/>
          </w:tcPr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Устранение неисправностей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02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.2026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AER-0002978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8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513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4"/>
              </w:numPr>
              <w:ind w:left="764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СХД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 YADRO TATLIN UNIFIED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79" w:type="dxa"/>
            <w:textDirection w:val="lrTb"/>
            <w:noWrap w:val="false"/>
          </w:tcPr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Устранение неисправностей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.2026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INC634759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8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488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4"/>
              </w:numPr>
              <w:ind w:left="764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СХД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 YADRO TATLIN UNIFIED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79" w:type="dxa"/>
            <w:textDirection w:val="lrTb"/>
            <w:noWrap w:val="false"/>
          </w:tcPr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Устранение неисправностей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.2026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INC635478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8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604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4"/>
              </w:numPr>
              <w:ind w:left="764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68" w:type="dxa"/>
            <w:textDirection w:val="lrTb"/>
            <w:noWrap w:val="false"/>
          </w:tcPr>
          <w:p>
            <w:pPr>
              <w:jc w:val="center"/>
              <w:tabs>
                <w:tab w:val="left" w:pos="1195" w:leader="none"/>
              </w:tabs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СЕРВЕР AQUARIUS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50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DF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224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CF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79" w:type="dxa"/>
            <w:textDirection w:val="lrTb"/>
            <w:noWrap w:val="false"/>
          </w:tcPr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Устранение неисправностей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23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.2026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№ 0000253112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8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578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4"/>
              </w:numPr>
              <w:ind w:left="764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СХД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 YADRO TATLIN UNIFIED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79" w:type="dxa"/>
            <w:textDirection w:val="lrTb"/>
            <w:noWrap w:val="false"/>
          </w:tcPr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Устранение неисправностей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23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.2026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INC635658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8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553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4"/>
              </w:numPr>
              <w:ind w:left="764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СХД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 YADRO TATLIN UNIFIED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79" w:type="dxa"/>
            <w:textDirection w:val="lrTb"/>
            <w:noWrap w:val="false"/>
          </w:tcPr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Устранение неисправностей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24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.2026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INC635614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8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52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4"/>
              </w:numPr>
              <w:ind w:left="764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СХД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 YADRO TATLIN UNIFIED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79" w:type="dxa"/>
            <w:textDirection w:val="lrTb"/>
            <w:noWrap w:val="false"/>
          </w:tcPr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Устранение неисправностей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29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.2026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INC636239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8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663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4"/>
              </w:numPr>
              <w:ind w:left="764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СХД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 YADRO TATLIN UNIFIED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79" w:type="dxa"/>
            <w:textDirection w:val="lrTb"/>
            <w:noWrap w:val="false"/>
          </w:tcPr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Устранение неисправностей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04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.2026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INC636576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8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618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4"/>
              </w:numPr>
              <w:ind w:left="764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СХД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 YADRO TATLIN UNIFIED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79" w:type="dxa"/>
            <w:textDirection w:val="lrTb"/>
            <w:noWrap w:val="false"/>
          </w:tcPr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Устранение неисправностей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05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.2026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INC636788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8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592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4"/>
              </w:numPr>
              <w:ind w:left="764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СХД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 YADRO TATLIN UNIFIED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79" w:type="dxa"/>
            <w:textDirection w:val="lrTb"/>
            <w:noWrap w:val="false"/>
          </w:tcPr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Устранение неисправностей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05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.2026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INC636804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8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566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4"/>
              </w:numPr>
              <w:ind w:left="764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68" w:type="dxa"/>
            <w:textDirection w:val="lrTb"/>
            <w:noWrap w:val="false"/>
          </w:tcPr>
          <w:p>
            <w:pPr>
              <w:jc w:val="center"/>
              <w:tabs>
                <w:tab w:val="left" w:pos="1265" w:leader="none"/>
              </w:tabs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Ленточная библиотека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Diamant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Library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79" w:type="dxa"/>
            <w:textDirection w:val="lrTb"/>
            <w:noWrap w:val="false"/>
          </w:tcPr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Устранение неисправностей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06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.2026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QS000757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8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559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4"/>
              </w:numPr>
              <w:ind w:left="764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68" w:type="dxa"/>
            <w:textDirection w:val="lrTb"/>
            <w:noWrap w:val="false"/>
          </w:tcPr>
          <w:p>
            <w:pPr>
              <w:jc w:val="center"/>
              <w:tabs>
                <w:tab w:val="left" w:pos="1265" w:leader="none"/>
              </w:tabs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Ленточная система хранения данных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Дата.ру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79" w:type="dxa"/>
            <w:textDirection w:val="lrTb"/>
            <w:noWrap w:val="false"/>
          </w:tcPr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Устранение неисправностей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06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.2026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15364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8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52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4"/>
              </w:numPr>
              <w:ind w:left="764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68" w:type="dxa"/>
            <w:textDirection w:val="lrTb"/>
            <w:noWrap w:val="false"/>
          </w:tcPr>
          <w:p>
            <w:pPr>
              <w:jc w:val="center"/>
              <w:tabs>
                <w:tab w:val="left" w:pos="1265" w:leader="none"/>
              </w:tabs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Ленточная система хранения данных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Дата.ру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79" w:type="dxa"/>
            <w:textDirection w:val="lrTb"/>
            <w:noWrap w:val="false"/>
          </w:tcPr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Устранение неисправностей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08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.2026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15384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8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541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4"/>
              </w:numPr>
              <w:ind w:left="764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68" w:type="dxa"/>
            <w:textDirection w:val="lrTb"/>
            <w:noWrap w:val="false"/>
          </w:tcPr>
          <w:p>
            <w:pPr>
              <w:jc w:val="center"/>
              <w:tabs>
                <w:tab w:val="left" w:pos="1265" w:leader="none"/>
              </w:tabs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СХД YADRO TATLIN UNIFIED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79" w:type="dxa"/>
            <w:textDirection w:val="lrTb"/>
            <w:noWrap w:val="false"/>
          </w:tcPr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Устранение неисправностей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.2026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INC637226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8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516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4"/>
              </w:numPr>
              <w:ind w:left="764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68" w:type="dxa"/>
            <w:textDirection w:val="lrTb"/>
            <w:noWrap w:val="false"/>
          </w:tcPr>
          <w:p>
            <w:pPr>
              <w:jc w:val="center"/>
              <w:tabs>
                <w:tab w:val="left" w:pos="1265" w:leader="none"/>
              </w:tabs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СХД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  <w:lang w:eastAsia="ru-RU"/>
              </w:rPr>
              <w:t xml:space="preserve">AERODISK VOSTOK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79" w:type="dxa"/>
            <w:textDirection w:val="lrTb"/>
            <w:noWrap w:val="false"/>
          </w:tcPr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Устранение неисправностей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.2026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AER-00031196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8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510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4"/>
              </w:numPr>
              <w:ind w:left="764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68" w:type="dxa"/>
            <w:textDirection w:val="lrTb"/>
            <w:noWrap w:val="false"/>
          </w:tcPr>
          <w:p>
            <w:pPr>
              <w:jc w:val="center"/>
              <w:tabs>
                <w:tab w:val="left" w:pos="1265" w:leader="none"/>
              </w:tabs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СХД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  <w:lang w:eastAsia="ru-RU"/>
              </w:rPr>
              <w:t xml:space="preserve">AERODISK VOSTOK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79" w:type="dxa"/>
            <w:textDirection w:val="lrTb"/>
            <w:noWrap w:val="false"/>
          </w:tcPr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Устранение неисправностей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25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.2026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AER-0003134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8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606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4"/>
              </w:numPr>
              <w:ind w:left="764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68" w:type="dxa"/>
            <w:textDirection w:val="lrTb"/>
            <w:noWrap w:val="false"/>
          </w:tcPr>
          <w:p>
            <w:pPr>
              <w:jc w:val="center"/>
              <w:tabs>
                <w:tab w:val="left" w:pos="1265" w:leader="none"/>
              </w:tabs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СХД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  <w:lang w:eastAsia="ru-RU"/>
              </w:rPr>
              <w:t xml:space="preserve">AERODISK VOSTOK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79" w:type="dxa"/>
            <w:textDirection w:val="lrTb"/>
            <w:noWrap w:val="false"/>
          </w:tcPr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Устранение неисправностей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26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.2026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AER-0003143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8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580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" w:type="dxa"/>
            <w:textDirection w:val="lrTb"/>
            <w:noWrap w:val="false"/>
          </w:tcPr>
          <w:p>
            <w:pPr>
              <w:pStyle w:val="1179"/>
              <w:numPr>
                <w:ilvl w:val="0"/>
                <w:numId w:val="24"/>
              </w:numPr>
              <w:ind w:left="764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68" w:type="dxa"/>
            <w:textDirection w:val="lrTb"/>
            <w:noWrap w:val="false"/>
          </w:tcPr>
          <w:p>
            <w:pPr>
              <w:jc w:val="center"/>
              <w:tabs>
                <w:tab w:val="left" w:pos="1265" w:leader="none"/>
              </w:tabs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СЕРВЕР AQUARIUS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50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DF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224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CF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79" w:type="dxa"/>
            <w:textDirection w:val="lrTb"/>
            <w:noWrap w:val="false"/>
          </w:tcPr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Устранение неисправностей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27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.2026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№ 0000255675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8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55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" w:type="dxa"/>
            <w:vMerge w:val="restart"/>
            <w:textDirection w:val="lrTb"/>
            <w:noWrap w:val="false"/>
          </w:tcPr>
          <w:p>
            <w:pPr>
              <w:pStyle w:val="1179"/>
              <w:numPr>
                <w:ilvl w:val="0"/>
                <w:numId w:val="24"/>
              </w:numPr>
              <w:ind w:left="764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68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1265" w:leader="none"/>
              </w:tabs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СХД YADRO TATLIN UNIFIED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79" w:type="dxa"/>
            <w:vMerge w:val="restart"/>
            <w:textDirection w:val="lrTb"/>
            <w:noWrap w:val="false"/>
          </w:tcPr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Устранение неисправностей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01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.2026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INC639733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529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" w:type="dxa"/>
            <w:vMerge w:val="restart"/>
            <w:textDirection w:val="lrTb"/>
            <w:noWrap w:val="false"/>
          </w:tcPr>
          <w:p>
            <w:pPr>
              <w:pStyle w:val="1179"/>
              <w:numPr>
                <w:ilvl w:val="0"/>
                <w:numId w:val="24"/>
              </w:numPr>
              <w:ind w:left="764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68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1265" w:leader="none"/>
              </w:tabs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СЕРВЕР AQUARIUS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50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DF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224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CF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79" w:type="dxa"/>
            <w:vMerge w:val="restart"/>
            <w:textDirection w:val="lrTb"/>
            <w:noWrap w:val="false"/>
          </w:tcPr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Устранение неисправностей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04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.2026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№0000256255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523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" w:type="dxa"/>
            <w:vMerge w:val="restart"/>
            <w:textDirection w:val="lrTb"/>
            <w:noWrap w:val="false"/>
          </w:tcPr>
          <w:p>
            <w:pPr>
              <w:pStyle w:val="1179"/>
              <w:numPr>
                <w:ilvl w:val="0"/>
                <w:numId w:val="24"/>
              </w:numPr>
              <w:ind w:left="764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68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1265" w:leader="none"/>
              </w:tabs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СХД YADRO TATLIN UNIFIED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79" w:type="dxa"/>
            <w:vMerge w:val="restart"/>
            <w:textDirection w:val="lrTb"/>
            <w:noWrap w:val="false"/>
          </w:tcPr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Устранение неисправностей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04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.2026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INC640116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518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" w:type="dxa"/>
            <w:vMerge w:val="restart"/>
            <w:textDirection w:val="lrTb"/>
            <w:noWrap w:val="false"/>
          </w:tcPr>
          <w:p>
            <w:pPr>
              <w:pStyle w:val="1179"/>
              <w:numPr>
                <w:ilvl w:val="0"/>
                <w:numId w:val="24"/>
              </w:numPr>
              <w:ind w:left="764"/>
              <w:spacing w:after="0"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68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1265" w:leader="none"/>
              </w:tabs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СХД YADRO TATLIN UNIFIED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79" w:type="dxa"/>
            <w:vMerge w:val="restart"/>
            <w:textDirection w:val="lrTb"/>
            <w:noWrap w:val="false"/>
          </w:tcPr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Устранение неисправностей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  <w:p>
            <w:pPr>
              <w:jc w:val="center"/>
              <w:spacing w:after="28" w:afterAutospacing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.2026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INC641269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402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" w:type="dxa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5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highlight w:val="white"/>
              </w:rPr>
              <w:t xml:space="preserve">Итого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highlight w:val="white"/>
                <w:lang w:val="en-US"/>
              </w:rPr>
              <w:t xml:space="preserve">23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  <w:highlight w:val="white"/>
              </w:rPr>
            </w:r>
          </w:p>
        </w:tc>
      </w:tr>
    </w:tbl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Работы по разделу технического администрирования, поддержки серверного оборудования единой информационно-коммуникационной сети Правительства Новосибирской области вы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полнены в полном объеме.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1" w:line="240" w:lineRule="auto"/>
        <w:rPr>
          <w:rFonts w:ascii="Times New Roman" w:hAnsi="Times New Roman" w:cs="Times New Roman"/>
          <w:b/>
          <w:sz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highlight w:val="white"/>
        </w:rPr>
        <w:t xml:space="preserve">Раздел 9. Техническое администрирование, поддержка коммуникационного оборудования единой информационно-коммуникационной сети Правительства Новосибирской области.</w:t>
      </w:r>
      <w:r>
        <w:rPr>
          <w:rFonts w:ascii="Times New Roman" w:hAnsi="Times New Roman" w:cs="Times New Roman"/>
          <w:b/>
          <w:sz w:val="24"/>
          <w:highlight w:val="white"/>
        </w:rPr>
      </w:r>
      <w:r>
        <w:rPr>
          <w:rFonts w:ascii="Times New Roman" w:hAnsi="Times New Roman" w:cs="Times New Roman"/>
          <w:b/>
          <w:sz w:val="24"/>
          <w:highlight w:val="white"/>
        </w:rPr>
      </w:r>
    </w:p>
    <w:p>
      <w:pPr>
        <w:ind w:firstLine="851"/>
        <w:jc w:val="both"/>
        <w:spacing w:after="0" w:line="240" w:lineRule="auto"/>
        <w:tabs>
          <w:tab w:val="left" w:pos="2694" w:leader="none"/>
        </w:tabs>
        <w:rPr>
          <w:rFonts w:ascii="Times New Roman" w:hAnsi="Times New Roman" w:cs="Times New Roman"/>
          <w:i/>
          <w:sz w:val="24"/>
          <w:highlight w:val="white"/>
        </w:rPr>
      </w:pPr>
      <w:r>
        <w:rPr>
          <w:rFonts w:ascii="Times New Roman" w:hAnsi="Times New Roman" w:eastAsia="Times New Roman" w:cs="Times New Roman"/>
          <w:i/>
          <w:sz w:val="24"/>
          <w:highlight w:val="white"/>
        </w:rPr>
        <w:t xml:space="preserve">Обслуживание и обеспечение функционирования коммуникационного оборудования.</w:t>
      </w:r>
      <w:r>
        <w:rPr>
          <w:rFonts w:ascii="Times New Roman" w:hAnsi="Times New Roman" w:cs="Times New Roman"/>
          <w:i/>
          <w:sz w:val="24"/>
          <w:highlight w:val="white"/>
        </w:rPr>
      </w:r>
      <w:r>
        <w:rPr>
          <w:rFonts w:ascii="Times New Roman" w:hAnsi="Times New Roman" w:cs="Times New Roman"/>
          <w:i/>
          <w:sz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За отчетный период на 7 972 единиц коммуникационного оборудования проведены следующие работы: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13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Проведение консультирования технических специалистов медицинских и/или общеобразовательных учреждений по проблемам с коммуникационным оборудованием.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13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Выполнение работ по регистрации новых абонентских оконечных терминалов локальных сетей PON (133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шт.).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13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Выполнение работ по настройке оборудования учреждений здравоохранения НСО (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35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шт.).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13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Выполнение регламентного обслуживания сетевого оборудования (548 шт.).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13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Организация работ по устранению неисправности оконечного оборудования PON в учреждениях Минздрава НСО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: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5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.1. Замена абонентских терминалов PON (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76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шт.).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5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.2. Замена блоков питания для абонентских терминалов (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109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шт.)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color w:val="ff0000"/>
          <w:sz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highlight w:val="white"/>
        </w:rPr>
        <w:t xml:space="preserve">6. </w:t>
      </w:r>
      <w:r>
        <w:rPr>
          <w:rFonts w:ascii="Times New Roman" w:hAnsi="Times New Roman" w:eastAsia="Times New Roman" w:cs="Times New Roman"/>
          <w:color w:val="000000" w:themeColor="text1"/>
          <w:sz w:val="24"/>
          <w:highlight w:val="white"/>
        </w:rPr>
        <w:t xml:space="preserve">Организация работ по устранению неисправности локальной распределительной сети и восстановлению работоспособности рабочих мест медиц</w:t>
      </w:r>
      <w:r>
        <w:rPr>
          <w:rFonts w:ascii="Times New Roman" w:hAnsi="Times New Roman" w:eastAsia="Times New Roman" w:cs="Times New Roman"/>
          <w:color w:val="000000" w:themeColor="text1"/>
          <w:sz w:val="24"/>
          <w:highlight w:val="white"/>
        </w:rPr>
        <w:t xml:space="preserve">инских учреждений Минздрава НСО </w:t>
      </w:r>
      <w:r>
        <w:rPr>
          <w:rFonts w:ascii="Times New Roman" w:hAnsi="Times New Roman" w:eastAsia="Times New Roman" w:cs="Times New Roman"/>
          <w:color w:val="000000" w:themeColor="text1"/>
          <w:sz w:val="24"/>
          <w:highlight w:val="white"/>
        </w:rPr>
        <w:t xml:space="preserve">(</w:t>
      </w:r>
      <w:r>
        <w:rPr>
          <w:rFonts w:ascii="Times New Roman" w:hAnsi="Times New Roman" w:eastAsia="Times New Roman" w:cs="Times New Roman"/>
          <w:color w:val="000000" w:themeColor="text1"/>
          <w:sz w:val="24"/>
          <w:highlight w:val="white"/>
        </w:rPr>
        <w:t xml:space="preserve">9</w:t>
      </w:r>
      <w:r>
        <w:rPr>
          <w:rFonts w:ascii="Times New Roman" w:hAnsi="Times New Roman" w:eastAsia="Times New Roman" w:cs="Times New Roman"/>
          <w:color w:val="000000" w:themeColor="text1"/>
          <w:sz w:val="24"/>
          <w:highlight w:val="white"/>
        </w:rPr>
        <w:t xml:space="preserve"> шт.)</w:t>
      </w:r>
      <w:r>
        <w:rPr>
          <w:rFonts w:ascii="Times New Roman" w:hAnsi="Times New Roman" w:eastAsia="Times New Roman" w:cs="Times New Roman"/>
          <w:color w:val="000000" w:themeColor="text1"/>
          <w:sz w:val="24"/>
          <w:highlight w:val="white"/>
        </w:rPr>
        <w:t xml:space="preserve">.</w:t>
      </w:r>
      <w:r>
        <w:rPr>
          <w:rFonts w:ascii="Times New Roman" w:hAnsi="Times New Roman" w:cs="Times New Roman"/>
          <w:color w:val="ff0000"/>
          <w:sz w:val="24"/>
          <w:highlight w:val="white"/>
        </w:rPr>
      </w:r>
      <w:r>
        <w:rPr>
          <w:rFonts w:ascii="Times New Roman" w:hAnsi="Times New Roman" w:cs="Times New Roman"/>
          <w:color w:val="ff0000"/>
          <w:sz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color w:val="000000"/>
          <w:sz w:val="24"/>
          <w:highlight w:val="white"/>
        </w:rPr>
      </w:pP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Работы по разделу технического администрирования, п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оддержки коммуникационного оборудования единой информационно-коммуникационной сети Правительства Новосибирской области выполнены в полном объеме.</w:t>
      </w:r>
      <w:r>
        <w:rPr>
          <w:rFonts w:ascii="Times New Roman" w:hAnsi="Times New Roman" w:cs="Times New Roman"/>
          <w:color w:val="000000"/>
          <w:sz w:val="24"/>
          <w:highlight w:val="white"/>
        </w:rPr>
      </w:r>
      <w:r>
        <w:rPr>
          <w:rFonts w:ascii="Times New Roman" w:hAnsi="Times New Roman" w:cs="Times New Roman"/>
          <w:color w:val="000000"/>
          <w:sz w:val="24"/>
          <w:highlight w:val="white"/>
        </w:rPr>
      </w:r>
    </w:p>
    <w:p>
      <w:pPr>
        <w:jc w:val="both"/>
        <w:spacing w:after="0" w:line="240" w:lineRule="auto"/>
        <w:tabs>
          <w:tab w:val="left" w:pos="2694" w:leader="none"/>
        </w:tabs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851"/>
        <w:jc w:val="both"/>
        <w:spacing w:after="1" w:line="240" w:lineRule="auto"/>
        <w:rPr>
          <w:rFonts w:ascii="Times New Roman" w:hAnsi="Times New Roman" w:cs="Times New Roman"/>
          <w:b/>
          <w:highlight w:val="white"/>
        </w:rPr>
      </w:pPr>
      <w:r>
        <w:rPr>
          <w:rFonts w:ascii="Times New Roman" w:hAnsi="Times New Roman" w:eastAsia="Times New Roman" w:cs="Times New Roman"/>
          <w:b/>
          <w:highlight w:val="white"/>
        </w:rPr>
        <w:t xml:space="preserve">Раздел 10. Техническое администрирование, поддержка сетевого оборудования единой информационно-коммуникационной сети Правительства Новосибирской области.</w:t>
      </w:r>
      <w:r>
        <w:rPr>
          <w:rFonts w:ascii="Times New Roman" w:hAnsi="Times New Roman" w:cs="Times New Roman"/>
          <w:b/>
          <w:highlight w:val="white"/>
        </w:rPr>
      </w:r>
      <w:r>
        <w:rPr>
          <w:rFonts w:ascii="Times New Roman" w:hAnsi="Times New Roman" w:cs="Times New Roman"/>
          <w:b/>
          <w:highlight w:val="white"/>
        </w:rPr>
      </w:r>
    </w:p>
    <w:p>
      <w:pPr>
        <w:ind w:firstLine="851"/>
        <w:jc w:val="both"/>
        <w:spacing w:after="1" w:line="240" w:lineRule="auto"/>
        <w:rPr>
          <w:rFonts w:ascii="Times New Roman" w:hAnsi="Times New Roman" w:cs="Times New Roman"/>
          <w:i/>
          <w:highlight w:val="white"/>
        </w:rPr>
      </w:pPr>
      <w:r>
        <w:rPr>
          <w:rFonts w:ascii="Times New Roman" w:hAnsi="Times New Roman" w:eastAsia="Times New Roman" w:cs="Times New Roman"/>
          <w:i/>
          <w:highlight w:val="white"/>
        </w:rPr>
        <w:t xml:space="preserve">Обслуживание и обеспечение функционирования сетевого оборудования.</w:t>
      </w:r>
      <w:r>
        <w:rPr>
          <w:rFonts w:ascii="Times New Roman" w:hAnsi="Times New Roman" w:cs="Times New Roman"/>
          <w:i/>
          <w:highlight w:val="white"/>
        </w:rPr>
      </w:r>
      <w:r>
        <w:rPr>
          <w:rFonts w:ascii="Times New Roman" w:hAnsi="Times New Roman" w:cs="Times New Roman"/>
          <w:i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highlight w:val="white"/>
        </w:rPr>
        <w:t xml:space="preserve">За отчетный период на 366 единиц сетевого оборудования выполнены работы по обновлению программного обеспечения и настройке сетевого оборудования (</w:t>
      </w:r>
      <w:r>
        <w:rPr>
          <w:rFonts w:ascii="Times New Roman" w:hAnsi="Times New Roman" w:eastAsia="Times New Roman" w:cs="Times New Roman"/>
          <w:highlight w:val="white"/>
        </w:rPr>
        <w:t xml:space="preserve">103</w:t>
      </w:r>
      <w:r>
        <w:rPr>
          <w:rFonts w:ascii="Times New Roman" w:hAnsi="Times New Roman" w:eastAsia="Times New Roman" w:cs="Times New Roman"/>
          <w:highlight w:val="white"/>
        </w:rPr>
        <w:t xml:space="preserve"> шт.). 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Работы по разделу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Техническое администрирование, поддержка сетевого оборудования единой информационно-коммуникационной сети Правительства Новосибирской области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выполнены в полном объеме</w:t>
      </w:r>
      <w:r/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left="851"/>
        <w:jc w:val="both"/>
        <w:spacing w:after="1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1"/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highlight w:val="white"/>
        </w:rPr>
        <w:t xml:space="preserve">Раздел 11.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Э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ксплуатация, сопровождение и модернизация государственной информационной сист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емы Новосибирской области «Единая платформа официальных сайтов органов государственной власти Новосибирской области» и информационных ресурсов, взаимосвязанных с государственной и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нформационной системой Новосибирской области «Единая платформа официальных сайтов органов государственной власти Новосибирской области».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</w:p>
    <w:p>
      <w:pPr>
        <w:pStyle w:val="1154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0"/>
          <w:szCs w:val="20"/>
          <w:highlight w:val="whit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 xml:space="preserve">О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 xml:space="preserve">беспечение бесперебойного функционирования, технической поддержки пользователей ГИС Новосибирской области «Единая платформа официальных сайтов органов государств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 xml:space="preserve">енной власти Новосибирской области» и информационных ресурсов, взаимосвязанных с ГИС Новосибирской области «Единая платформа официальных сайтов органов государственной власти Новосибирской области», в том числе актуализация, адаптация, модернизация, дорабо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 xml:space="preserve">тка и приведение в соответствие с законодательством РФ и Новосибирской области, а также нормативно-правовыми актами уполномоченного органа Новосибирской области по обеспечению доступа к информации о деятельности исполнительных органов Новосибирской области</w:t>
      </w:r>
      <w:r>
        <w:rPr>
          <w:rFonts w:ascii="Times New Roman" w:hAnsi="Times New Roman" w:cs="Times New Roman"/>
          <w:i/>
          <w:iCs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0"/>
          <w:szCs w:val="20"/>
          <w:highlight w:val="white"/>
        </w:rPr>
      </w:r>
    </w:p>
    <w:p>
      <w:pPr>
        <w:ind w:firstLine="851"/>
        <w:jc w:val="both"/>
        <w:spacing w:after="1"/>
        <w:rPr>
          <w:rFonts w:ascii="Times New Roman" w:hAnsi="Times New Roman" w:cs="Times New Roman"/>
          <w:i/>
          <w:sz w:val="24"/>
          <w:highlight w:val="white"/>
        </w:rPr>
      </w:pPr>
      <w:r>
        <w:rPr>
          <w:rFonts w:ascii="Times New Roman" w:hAnsi="Times New Roman" w:eastAsia="Times New Roman" w:cs="Times New Roman"/>
          <w:i/>
          <w:sz w:val="24"/>
          <w:highlight w:val="white"/>
        </w:rPr>
      </w:r>
      <w:r>
        <w:rPr>
          <w:rFonts w:ascii="Times New Roman" w:hAnsi="Times New Roman" w:eastAsia="Times New Roman" w:cs="Times New Roman"/>
          <w:i/>
          <w:sz w:val="24"/>
          <w:highlight w:val="white"/>
        </w:rPr>
        <w:t xml:space="preserve">.</w:t>
      </w:r>
      <w:r>
        <w:rPr>
          <w:rFonts w:ascii="Times New Roman" w:hAnsi="Times New Roman" w:cs="Times New Roman"/>
          <w:i/>
          <w:sz w:val="24"/>
          <w:highlight w:val="white"/>
        </w:rPr>
      </w:r>
      <w:r>
        <w:rPr>
          <w:rFonts w:ascii="Times New Roman" w:hAnsi="Times New Roman" w:cs="Times New Roman"/>
          <w:i/>
          <w:sz w:val="24"/>
          <w:highlight w:val="white"/>
        </w:rPr>
      </w:r>
    </w:p>
    <w:p>
      <w:pPr>
        <w:ind w:firstLine="851"/>
        <w:jc w:val="both"/>
        <w:spacing w:after="1"/>
        <w:rPr>
          <w:rFonts w:ascii="Times New Roman" w:hAnsi="Times New Roman" w:cs="Times New Roman"/>
          <w:b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За отчетный период проведены следующие работы:</w:t>
      </w:r>
      <w:r>
        <w:rPr>
          <w:rFonts w:ascii="Times New Roman" w:hAnsi="Times New Roman" w:cs="Times New Roman"/>
          <w:b/>
          <w:sz w:val="24"/>
          <w:highlight w:val="white"/>
        </w:rPr>
      </w:r>
      <w:r>
        <w:rPr>
          <w:rFonts w:ascii="Times New Roman" w:hAnsi="Times New Roman" w:cs="Times New Roman"/>
          <w:b/>
          <w:sz w:val="24"/>
          <w:highlight w:val="white"/>
        </w:rPr>
      </w:r>
    </w:p>
    <w:p>
      <w:pPr>
        <w:ind w:firstLine="851"/>
        <w:jc w:val="both"/>
        <w:spacing w:after="1"/>
        <w:rPr>
          <w:rFonts w:ascii="Times New Roman" w:hAnsi="Times New Roman" w:cs="Times New Roman"/>
          <w:b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1.</w:t>
      </w:r>
      <w:r>
        <w:rPr>
          <w:rFonts w:ascii="Times New Roman" w:hAnsi="Times New Roman" w:eastAsia="Times New Roman" w:cs="Times New Roman"/>
          <w:sz w:val="24"/>
          <w:highlight w:val="white"/>
        </w:rPr>
        <w:tab/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За отчетный период проведены следующие работы:</w:t>
      </w:r>
      <w:r>
        <w:rPr>
          <w:rFonts w:ascii="Times New Roman" w:hAnsi="Times New Roman" w:cs="Times New Roman"/>
          <w:b/>
          <w:sz w:val="24"/>
          <w:highlight w:val="white"/>
        </w:rPr>
      </w:r>
      <w:r>
        <w:rPr>
          <w:rFonts w:ascii="Times New Roman" w:hAnsi="Times New Roman" w:cs="Times New Roman"/>
          <w:b/>
          <w:sz w:val="24"/>
          <w:highlight w:val="white"/>
        </w:rPr>
      </w:r>
    </w:p>
    <w:p>
      <w:pPr>
        <w:pStyle w:val="1179"/>
        <w:numPr>
          <w:ilvl w:val="3"/>
          <w:numId w:val="87"/>
        </w:numPr>
        <w:ind w:left="0" w:firstLine="851"/>
        <w:jc w:val="both"/>
        <w:spacing w:after="0" w:line="240" w:lineRule="auto"/>
        <w:tabs>
          <w:tab w:val="num" w:pos="0" w:leader="none"/>
          <w:tab w:val="clear" w:pos="284" w:leader="none"/>
        </w:tabs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Согласно требованию от Управления Федеральной службы по техническому и экспортному контролю по Сибирскому федеральному округу в целях повышения защищенности информационных систем, произведены работы по устранению потенциальных уязвимостей.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87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 Согласно письму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министерство труда и социального развития Новосибирской области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, проведены работы по доработке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лендинг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а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"Всероссийская ярмарка трудоустройства Новосибирской области"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87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Согласно письму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департамента организации управления и государственной гражданской служб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Новосибирской области, проведены работы по доработке цифрового штендера для реализации акции «Бессмертный полк:</w:t>
      </w:r>
      <w:r>
        <w:rPr>
          <w:rFonts w:ascii="Times New Roman" w:hAnsi="Times New Roman" w:eastAsia="Times New Roman" w:cs="Times New Roman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код Победителей».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87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Согласно письму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департамента молодежной политики Новосибирской области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, проведены работы по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созданию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отдельного окна, содержащего в себе информацию о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доступных мерах поддержки, оказываемых молодым людям на территории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Новосибирской области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87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Согласно письму министерства экономического развития Новосибирской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области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, проведены работы по доработке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инвестиционного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портала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Новосибирской Области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.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Добавлены защита от спама на всех формах портала.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87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Согласно письму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государственного автономного учреждения дополнительного профессионального образования Новосибирской области «Центр оценки и развития управленческих компетенций»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, проведены работы по доработке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корпоративного портала «Госслужба» согласно полученному техническому заданию.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87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Согласно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протоколу совещания по вопросу рассмотрения бюджета Министерства цифрового развития и связи Новосибирской области на 2025-2027 гг.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, проведены работы по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обновлению информационной системы «Наказы избирателей» для перехода на российское программное обеспечение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87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Согласно письму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министерства юстиции Новосибирской области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, проведены работы по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созда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нию система создания и обновления списков присяжных Новосибирской области.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87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Согласно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поручению Губернатора Новосибирской области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, проведены работы по созданию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модулей: «Народный корреспондент», «Волонтёрство и добровольчество», «Патриотическая работа» согласно техническому заданию по</w:t>
      </w:r>
      <w:r>
        <w:rPr>
          <w:rFonts w:ascii="Times New Roman" w:hAnsi="Times New Roman" w:eastAsia="Times New Roman" w:cs="Times New Roman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разработке веб-сайта патриотической направленности на домене patriot54.ru.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87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Согласно письму министерства экономического развития Новосибирской области, проведены работы по доработке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информационной системы электронная демократия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Новосибирской Области. Р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азработана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возможность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проведения регуляторных процедур в соответствии с постановлением № 136 на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портале путем создания соответствующих разделов «Оценка применения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обязательных требований» и «Оценка фактического воздействия»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87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Согласно поручению от мин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истра Цукаря Сергей Сергеевича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от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25.05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.2026 проведены работы по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обновления информации на сайте ко Дню защиты детей (https://childrensday.nso.ru/)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87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Согласно поручению от министра Цукаря Сергей Сергеевича от 25.05.2026 проведены работы по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доработки сайта контрактной службы для возможности распространения рекламы по районам(</w:t>
      </w:r>
      <w:r>
        <w:rPr>
          <w:rFonts w:ascii="Times New Roman" w:hAnsi="Times New Roman" w:eastAsia="Times New Roman" w:cs="Times New Roman"/>
          <w:sz w:val="24"/>
          <w:highlight w:val="white"/>
          <w:lang w:val="en-US"/>
        </w:rPr>
        <w:t xml:space="preserve">Https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://</w:t>
      </w:r>
      <w:r>
        <w:rPr>
          <w:rFonts w:ascii="Times New Roman" w:hAnsi="Times New Roman" w:eastAsia="Times New Roman" w:cs="Times New Roman"/>
          <w:sz w:val="24"/>
          <w:highlight w:val="white"/>
          <w:lang w:val="en-US"/>
        </w:rPr>
        <w:t xml:space="preserve">kontrakt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sz w:val="24"/>
          <w:highlight w:val="white"/>
          <w:lang w:val="en-US"/>
        </w:rPr>
        <w:t xml:space="preserve">nso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sz w:val="24"/>
          <w:highlight w:val="white"/>
          <w:lang w:val="en-US"/>
        </w:rPr>
        <w:t xml:space="preserve">ru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)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87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Согласно поручению от министра Цукаря Сергей Сергеевича от 2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0.03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.2026 проведены работы по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оработки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дизайна и функционала открытого портала минцифры Новосибирской области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сайта контрактной службы для возможности распространения рекламы по районам (</w:t>
      </w:r>
      <w:r>
        <w:rPr>
          <w:rFonts w:ascii="Times New Roman" w:hAnsi="Times New Roman" w:eastAsia="Times New Roman" w:cs="Times New Roman"/>
          <w:sz w:val="24"/>
          <w:highlight w:val="white"/>
          <w:lang w:val="en-US"/>
        </w:rPr>
        <w:t xml:space="preserve">https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://</w:t>
      </w:r>
      <w:r>
        <w:rPr>
          <w:rFonts w:ascii="Times New Roman" w:hAnsi="Times New Roman" w:eastAsia="Times New Roman" w:cs="Times New Roman"/>
          <w:sz w:val="24"/>
          <w:highlight w:val="white"/>
          <w:lang w:val="en-US"/>
        </w:rPr>
        <w:t xml:space="preserve">it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sz w:val="24"/>
          <w:highlight w:val="white"/>
          <w:lang w:val="en-US"/>
        </w:rPr>
        <w:t xml:space="preserve">nso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sz w:val="24"/>
          <w:highlight w:val="white"/>
          <w:lang w:val="en-US"/>
        </w:rPr>
        <w:t xml:space="preserve">ru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/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).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87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Согласно поручению от министра Цукаря Сергей Сергеевича от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16.02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.2026 проведены работы по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созданию и запуску лендинга "Все для победы" (</w:t>
      </w:r>
      <w:r>
        <w:rPr>
          <w:rFonts w:ascii="Times New Roman" w:hAnsi="Times New Roman" w:eastAsia="Times New Roman" w:cs="Times New Roman"/>
          <w:sz w:val="24"/>
          <w:highlight w:val="white"/>
          <w:lang w:val="en-US"/>
        </w:rPr>
        <w:t xml:space="preserve">https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://СВОНСО.рф)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87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Согласно поручению от министра Цукаря Сергей Сергеевича от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24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.02.2026 проведены работы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по доработки портала «Есть предложения» для возможности сбора и обработки предложений по использованию искусственного интеллекта в Правительстве Новосибирской области.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87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Согласно поручению от министра Цукаря Сергей Сергеевича от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08.05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.2026 проведены работы по доработки портала «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ИИ-помошники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».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Изменены дизайн и функциональные возможности портала.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аботы по разделу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Э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ксплуатация, сопровождение и модернизация государственной информационной сист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емы Новосибирской области «Единая платформа официальных сайтов органов государственной власти Новосибирской области» и информационных ресурсов, взаимосвязанных с государственной и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нформационной системой Новосибирской области «Единая платформа официальных сайтов органов государственной власти Новосибирской области»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выполнены в полном объеме</w:t>
      </w:r>
      <w:r/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b/>
          <w:spacing w:val="-2"/>
          <w:sz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highlight w:val="white"/>
        </w:rPr>
        <w:t xml:space="preserve">Раздел 12. Обеспечение функционирования регионального сегмента системы КСЭОН на территории Новосибирской области</w:t>
      </w:r>
      <w:r>
        <w:rPr>
          <w:rFonts w:ascii="Times New Roman" w:hAnsi="Times New Roman" w:cs="Times New Roman"/>
          <w:b/>
          <w:spacing w:val="-2"/>
          <w:sz w:val="24"/>
          <w:highlight w:val="white"/>
        </w:rPr>
      </w:r>
      <w:r>
        <w:rPr>
          <w:rFonts w:ascii="Times New Roman" w:hAnsi="Times New Roman" w:cs="Times New Roman"/>
          <w:b/>
          <w:spacing w:val="-2"/>
          <w:sz w:val="24"/>
          <w:highlight w:val="white"/>
        </w:rPr>
      </w:r>
    </w:p>
    <w:p>
      <w:pPr>
        <w:ind w:firstLine="851"/>
        <w:jc w:val="both"/>
        <w:spacing w:after="1" w:line="240" w:lineRule="auto"/>
        <w:rPr>
          <w:rFonts w:ascii="Times New Roman" w:hAnsi="Times New Roman" w:cs="Times New Roman"/>
          <w:i/>
          <w:sz w:val="24"/>
          <w:highlight w:val="white"/>
        </w:rPr>
      </w:pPr>
      <w:r>
        <w:rPr>
          <w:rFonts w:ascii="Times New Roman" w:hAnsi="Times New Roman" w:eastAsia="Times New Roman" w:cs="Times New Roman"/>
          <w:i/>
          <w:spacing w:val="-2"/>
          <w:sz w:val="24"/>
          <w:highlight w:val="white"/>
        </w:rPr>
        <w:t xml:space="preserve">Обеспечение бесперебойного функционирования активного сет</w:t>
      </w:r>
      <w:r>
        <w:rPr>
          <w:rFonts w:ascii="Times New Roman" w:hAnsi="Times New Roman" w:eastAsia="Times New Roman" w:cs="Times New Roman"/>
          <w:i/>
          <w:spacing w:val="-2"/>
          <w:sz w:val="24"/>
          <w:highlight w:val="white"/>
        </w:rPr>
        <w:t xml:space="preserve">евого оборудования системы КСЭОН (настройка, ввод в эксплуатацию, плановое техническое обслуживание). Проведение поверки и планового технического обслуживания технических комплексов мониторинга условий окружающей среды регионального сегмента системы КСЭОН.</w:t>
      </w:r>
      <w:r>
        <w:rPr>
          <w:rFonts w:ascii="Times New Roman" w:hAnsi="Times New Roman" w:cs="Times New Roman"/>
          <w:i/>
          <w:sz w:val="24"/>
          <w:highlight w:val="white"/>
        </w:rPr>
      </w:r>
      <w:r>
        <w:rPr>
          <w:rFonts w:ascii="Times New Roman" w:hAnsi="Times New Roman" w:cs="Times New Roman"/>
          <w:i/>
          <w:sz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За отчетный период в рамках обеспечения функционирования регионального сегмента системы КСЭОН на территории Новосибирской области за отчетный период произведены работы по плановому обслуживанию датчиков системы КСЭОН (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144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шт.). 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Работы по разделу обеспечения функционирования регионального сегмента системы КСЭОН на территории Новосибирской области выполнены в полном объеме.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b/>
          <w:spacing w:val="-2"/>
          <w:sz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highlight w:val="white"/>
        </w:rPr>
        <w:t xml:space="preserve">Раздел 13. Эксплуатация, сопровождение и техническое администрирование ЦОД Правительства Новосибирской области, в том числе инженерных систем, программно-аппаратных комплексов и сервисов.</w:t>
      </w:r>
      <w:r>
        <w:rPr>
          <w:rFonts w:ascii="Times New Roman" w:hAnsi="Times New Roman" w:cs="Times New Roman"/>
          <w:b/>
          <w:spacing w:val="-2"/>
          <w:sz w:val="24"/>
          <w:highlight w:val="white"/>
        </w:rPr>
      </w:r>
      <w:r>
        <w:rPr>
          <w:rFonts w:ascii="Times New Roman" w:hAnsi="Times New Roman" w:cs="Times New Roman"/>
          <w:b/>
          <w:spacing w:val="-2"/>
          <w:sz w:val="24"/>
          <w:highlight w:val="white"/>
        </w:rPr>
      </w:r>
    </w:p>
    <w:p>
      <w:pPr>
        <w:ind w:firstLine="851"/>
        <w:jc w:val="both"/>
        <w:spacing w:after="1" w:line="240" w:lineRule="auto"/>
        <w:rPr>
          <w:rFonts w:ascii="Times New Roman" w:hAnsi="Times New Roman" w:cs="Times New Roman"/>
          <w:i/>
          <w:sz w:val="24"/>
          <w:highlight w:val="white"/>
        </w:rPr>
      </w:pPr>
      <w:r>
        <w:rPr>
          <w:rFonts w:ascii="Times New Roman" w:hAnsi="Times New Roman" w:eastAsia="Times New Roman" w:cs="Times New Roman"/>
          <w:i/>
          <w:sz w:val="24"/>
          <w:highlight w:val="white"/>
        </w:rPr>
        <w:t xml:space="preserve">Дооснащение, расширение, модернизация и техническое обслуживание инженерных систем. Эксплуатация, расширение, техническое администрирование программно-аппаратных комплексов и сервисов ЦОД.</w:t>
      </w:r>
      <w:r>
        <w:rPr>
          <w:rFonts w:ascii="Times New Roman" w:hAnsi="Times New Roman" w:cs="Times New Roman"/>
          <w:i/>
          <w:sz w:val="24"/>
          <w:highlight w:val="white"/>
        </w:rPr>
      </w:r>
      <w:r>
        <w:rPr>
          <w:rFonts w:ascii="Times New Roman" w:hAnsi="Times New Roman" w:cs="Times New Roman"/>
          <w:i/>
          <w:sz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За отчетный период проведены следующие работы: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b/>
          <w:sz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highlight w:val="white"/>
        </w:rPr>
        <w:t xml:space="preserve">Резервный центр обработки данных.</w:t>
      </w:r>
      <w:r>
        <w:rPr>
          <w:rFonts w:ascii="Times New Roman" w:hAnsi="Times New Roman" w:cs="Times New Roman"/>
          <w:b/>
          <w:sz w:val="24"/>
          <w:highlight w:val="white"/>
        </w:rPr>
      </w:r>
      <w:r>
        <w:rPr>
          <w:rFonts w:ascii="Times New Roman" w:hAnsi="Times New Roman" w:cs="Times New Roman"/>
          <w:b/>
          <w:sz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В целях обеспечения выполнения государственного задания заключен контрак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т от 13.10.2025 № 0851200000625006741 на оказание услуг по техническому обслуживанию и ремонту инженерных систем административного здания резервного центра обработки данных Правительства Новосибирской области расположенного по адресу: ул. Николаева, 11/3. 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В соответствии с контрактом за отчетный период были проведены следующие мероприятия: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tbl>
      <w:tblPr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9"/>
        <w:gridCol w:w="2746"/>
        <w:gridCol w:w="4394"/>
        <w:gridCol w:w="850"/>
        <w:gridCol w:w="993"/>
      </w:tblGrid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vAlign w:val="center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6" w:type="dxa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Вид работ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Ед. изм.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Кол-во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Обслуживание системы бесперебойного питания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APC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Symmetra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PX 250/500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kW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746" w:type="dxa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highlight w:val="white"/>
              </w:rPr>
              <w:t xml:space="preserve">Итого:</w:t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vMerge w:val="restart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Обслуживание дизель-генераторных установок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Дизель – генераторы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Gesan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DVA 410E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>
          <w:trHeight w:val="491"/>
        </w:trPr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Дизель – генератор ЭДБ-320-4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Аккумуляторы Тюмень 12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V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820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A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EN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) 132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Ah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Аккумуляторы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 VARTA E11 12V 74Ah 680A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6" w:type="dxa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highlight w:val="white"/>
              </w:rPr>
              <w:t xml:space="preserve">Итого:</w:t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highlight w:val="white"/>
                <w:lang w:val="en-US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highlight w:val="white"/>
              </w:rPr>
              <w:t xml:space="preserve">9</w:t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vMerge w:val="restart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бслуживание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силового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электрооборудования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Электрический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щит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 ГРЩ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Электрический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щит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 ЩГП А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Электрический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щит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 ЩГП Б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Электрический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щит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 ЩБП А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Электрический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щит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 ЩБП Б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Электрический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щит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 ЩЗИП 1(2)(3)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Электрический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щит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 АВР1(2)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Электрический щит ЩКН с АВР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Электрический щит ВРУ с АВР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Электрический щит ЩО.1 (2)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Электрический щит ЩАО.1 (2)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Электрический щит ЩВ1(2)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Электрический щит ЩС 1 (2)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Электрический щит ЩР 1 (2)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Электрические щиты РЩС А(Б)1, РЩС А(Б)2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Электрический щит РЩС А(Б)3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Электрический щит ЩПН ХС А,Б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Электрический щит РУСМ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Электрический щит ЩПР ДЭС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Электрический щит ЩСН ДГУ1(2)(3)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Электрический светильник СБА 1098-60DC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60 LED 2.0Ah lithium battery DC IN HOME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Электрический светильник ДПА 2101 LDPA0-2101-30-K01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Электрический светильник герметичный круглый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Электрический светильник светодиодный герметичный круглый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Электрический светильник SBL-uni-36W-45K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14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Электрический светильник 2*36 ALS.OPL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103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Электрический светильник аварийный – светодиодная панель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NLP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PS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2-36-4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K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IP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20-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LED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-1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val="en-US"/>
              </w:rPr>
              <w:t xml:space="preserve">A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Электрический светильник аварийный 2*36 ALS.OPL 236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26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Выключатели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Legrand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одноклавишные (кабель канальные)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31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Выключатели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Legrand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двухклавишные (кабель канальные)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Розетки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Legrand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с заземлением (кабель канальные)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138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6" w:type="dxa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cs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highlight w:val="white"/>
              </w:rPr>
              <w:t xml:space="preserve">Итого:</w:t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highlight w:val="white"/>
              </w:rPr>
              <w:t xml:space="preserve">376</w:t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vMerge w:val="restart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Обслуживание системы приточно-вытяжной вентиляции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Система вентиляции фирмы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Systemair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TA 1500 HW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Система вентиляции фирмы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Systemair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Danvent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DV10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Двигатели вытяжной вентиляции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К125М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К100М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КТ50-30-4 SWD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KD250M1 (SP1) 255 Вт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Электрический щит РУСМ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6" w:type="dxa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highlight w:val="white"/>
              </w:rPr>
              <w:t xml:space="preserve">Итого:</w:t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highlight w:val="white"/>
              </w:rPr>
              <w:t xml:space="preserve">10</w:t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vMerge w:val="restart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Обслуживание системы климатического обеспечения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Чиллер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Emersson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SBH030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Чиллер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РефРус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TGF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Кондиционер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Emersson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M44DC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Кондиционер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Trane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FCD-612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Кондиционер ACRC103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InRow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RC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Кондиционер APC ACRC301S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Кондиционер ACRP502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InRow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RP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Кондиционер ACRC502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InRow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RC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Насосы внутреннего контура охлаждения GRUNDFOS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Насосы внешнего контура охлаждения GRUNDFOS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Насос дренажный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Grundfos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UNILIFT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6" w:type="dxa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highlight w:val="white"/>
              </w:rPr>
              <w:t xml:space="preserve">Итого:</w:t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highlight w:val="white"/>
              </w:rPr>
              <w:t xml:space="preserve">46</w:t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vMerge w:val="restart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Обслуживание систем видеонаблюдения, контроля доступа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Источник вторичного питания СКАТ – 1200 12В/4А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Источник вторичного питания СКАТ – 2400 12В/40А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Сервер видеонаблюдения - HP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Proliant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DL 360e Gen8 –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Видеокамера AXIS M3203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Считыватели бесконтактные PERCo-RP-15.2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28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Модуль дверной МД (контроллер)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26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Замки электромагнитные МЕТАКОМ ML-250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13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Видеодомофон GARDI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GARDI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Max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Антивандальная вызывная панель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6" w:type="dxa"/>
            <w:vMerge w:val="continue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Доводчик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Palladium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10120 BC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19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6" w:type="dxa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cs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highlight w:val="white"/>
              </w:rPr>
              <w:t xml:space="preserve">Итого:</w:t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highlight w:val="white"/>
              </w:rPr>
              <w:t xml:space="preserve">127</w:t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</w:p>
        </w:tc>
      </w:tr>
      <w:tr>
        <w:tblPrEx/>
        <w:trPr>
          <w:trHeight w:val="683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Обслуживание наружных сетей: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Наружные тепловые сети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- Очистка грязевиков;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- Обход тепловых сетей с составлением списка текущих работ;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- Очистка тепловых сетей от грязи, мусора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Наружные сети водопровода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-Технический осмотр запорной арматуры;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- Текущее восстановление запорной арматуры;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- Текущее восстановление водопроводных сетей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Наружные сети канализации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- Обход сети без спуска в колодец;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-Внутренний осмотр колодцев, выявление повреждений, осмотр состояния люков, скоб, лотков, выявление степени наполнения труб, выявление необходимости прочистки и восстановление сети;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- Текущее восстановление сети: ликвидация заилений и засоров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ind w:firstLine="851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Наружные сети электроснабжения, ВРУ-0,4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- Осмотр сетей электроснабжения, осмотр вводного распределительно устройства ВРУ-0,4;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- Проверка технического состояния коммутационной аппаратуры, наладка оборудования.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</w:tbl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В целях обеспечения выполнения г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осударственного задания заключен контракт на оказание услуг по техническому обслуживанию средств обеспечения пожарной безопасности здания резервного центра обработки данных Правительства Новосибирской области расположенного по адресу: ул. Николаева, 11/3. 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В соответствии с контрактом за отчетный период были проведены мероприятия на следующих средствах: 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tbl>
      <w:tblPr>
        <w:tblW w:w="5002" w:type="pct"/>
        <w:tblLayout w:type="fixed"/>
        <w:tblLook w:val="04A0" w:firstRow="1" w:lastRow="0" w:firstColumn="1" w:lastColumn="0" w:noHBand="0" w:noVBand="1"/>
      </w:tblPr>
      <w:tblGrid>
        <w:gridCol w:w="1129"/>
        <w:gridCol w:w="8930"/>
      </w:tblGrid>
      <w:tr>
        <w:tblPrEx/>
        <w:trPr>
          <w:trHeight w:val="4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ind w:right="312" w:firstLine="22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№ п/п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93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Наименование средств пожарной безопасности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>
          <w:trHeight w:val="3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ind w:right="312" w:firstLine="22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3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Система автоматической пожарной сигнализации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>
          <w:trHeight w:val="4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ind w:right="312" w:firstLine="22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93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Система оповещения и управления эвакуацией людей при пожаре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>
          <w:trHeight w:val="4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ind w:right="312" w:firstLine="22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93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Система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противодымной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вентиляции 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>
          <w:trHeight w:val="4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ind w:right="312" w:firstLine="22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93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Система противопожарного водоснабжения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>
          <w:trHeight w:val="4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ind w:right="312" w:firstLine="22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93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bookmarkStart w:id="1" w:name="OLE_LINK13"/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Система автоматической сигнализации, оповещения и пожаротушения дизель-генераторных установок</w:t>
            </w:r>
            <w:bookmarkEnd w:id="1"/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  <w:tr>
        <w:tblPrEx/>
        <w:trPr>
          <w:trHeight w:val="4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ind w:right="312" w:firstLine="22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93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Система газового пожаротушения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</w:tr>
    </w:tbl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В целях обеспечения выполнения государственного задания заключен контракт на оказание услуг по круглосуточной охране здания резервного центра обработки данных Правительства Новосибирской области расположенного по адресу: ул. Николаева, 11/3.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В соответствии с контрактом за отчетный период организована и обеспечена круглосуточная охрана здания резервного центра обработки данных Правительства Новосибирской области.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В целях обеспечения выполнения государственного задания заключен контракт на оказание услуг по уборке помещений административного здания резервного центра данных Правительства Новосибирской области расположенного по адресу: ул. Николаева, 11/3. 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В соответствии с контрактом за отчетный период проведены следующие мероприятия: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89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комплекс услуг по «Уборке бытовых помещений» периодичностью 3 раза в неделю. Площадь убираемых помещений – 141,0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кв.м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.;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0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комплекс услуг по «Уборке инженерных помещений» периодичностью 1 раз в месяц. Площадь убираемых помещений – 376,0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кв.м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.;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0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комплекс услуг по «Уборке подсобных помещений» периодичностью 2 раза в месяц. Площадь убираемых помещений –132,0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кв.м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.;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0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комплекс услуг по «Уборке туалетных комнат» периодичностью 3 раза в неделю. Площадь убираемых помещений –8,0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кв.м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.;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0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комплекс услуг по «Уборке душевых комнат» периодичностью 3 раза в неделю. Площадь убираемых помещений –6,0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кв.м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ind w:left="0" w:firstLine="851"/>
        <w:jc w:val="both"/>
        <w:spacing w:after="0" w:line="240" w:lineRule="auto"/>
        <w:rPr>
          <w:rFonts w:ascii="Times New Roman" w:hAnsi="Times New Roman" w:cs="Times New Roman"/>
          <w:b/>
          <w:sz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highlight w:val="white"/>
        </w:rPr>
        <w:t xml:space="preserve">Центр обработки данных:</w:t>
      </w:r>
      <w:r>
        <w:rPr>
          <w:rFonts w:ascii="Times New Roman" w:hAnsi="Times New Roman" w:cs="Times New Roman"/>
          <w:b/>
          <w:sz w:val="24"/>
          <w:highlight w:val="white"/>
        </w:rPr>
      </w:r>
      <w:r>
        <w:rPr>
          <w:rFonts w:ascii="Times New Roman" w:hAnsi="Times New Roman" w:cs="Times New Roman"/>
          <w:b/>
          <w:sz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В целях обеспечения выполнения государственного задания заключен контракт на оказание услуг по техническому обслуживанию системы электроснабжения центра обработки данных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Правительства Новосибирской области расположенного по адресу: ул. Свердлова, д.14 и системы бесперебойного питания информационно-коммуникационного оборудования залов Правительства Новосибирской области расположенного по адресу: ул. Красный Проспект, д.18.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В соответствии с контрактом за отчетный период проведены следующие мероприятия: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1. Выполнено обслуживание системы бесперебойного питания (СБП):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1.1.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Источник бесперебойного питания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Conceptpower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DPA 250: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1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ш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каф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Conceptpower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DP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A 250 – 2 шт.;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1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модуль ИБП 50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кВА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/40 кВт – 10 шт.;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1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шкаф АКБ – 2 шт.;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1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ккумуляторная батарея 28A/час – 300 шт.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1.2.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Источник бесперебойного питания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Conceptpower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DPA 250: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2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шкаф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Conceptpower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DPA 250 – 1 шт.;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2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модуль ИБП 50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кВА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/40 кВт – 5 шт.;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2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шкаф АКБ – 1 шт.;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2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ккумуляторная батарея 28A/час – 150 шт.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1.3.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Источник бесперебойного питания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Rittal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PMC 200: 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3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шкаф PMC 200 - 1шт.;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3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м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одуль ИБП 50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кВА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/40 кВт – 5 шт.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3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ш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каф АКБ – 1 шт.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3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ккумуляторная батарея 28A/час – 150 шт.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1.4.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Источник бесперебойного питания SYMMETRA PX 160K: 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4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ш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каф SY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PBV96K160HA - 1шт.;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4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м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одуль ИБП SYPM10K16H 16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кВА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/40 кВт – 2 шт.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4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ш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каф АКБ – 1 шт.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4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ккумуляторная батарея 56.4 A/час – 32 шт.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1"/>
          <w:numId w:val="11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Источник бесперебойного питания Импульс мультиплекс 60кВА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: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5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м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одуль ИБП 15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кВА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/40 кВт – 4 шт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.;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5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ш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каф АКБ – 1 шт.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5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ш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каф с автоматическими выключателями – 2 шт.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5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ш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каф АВР – 1 шт.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1"/>
          <w:numId w:val="11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Источник бесперебойного питания Импульс мультиплекс 60кВА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: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6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м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одуль ИБП 15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кВА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/40 кВт – 4 шт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.;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6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ш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каф АКБ – 1 шт.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6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ш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каф с автоматическими выключателями – 5 шт.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2.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Выполнено обслуживание силового электрооборудования: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1"/>
          <w:numId w:val="34"/>
        </w:numPr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Э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лектрические шкафы: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7"/>
        </w:numPr>
        <w:ind w:left="0" w:right="0" w:firstLine="992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ЩСБГЭ 1.1 (5,6,8,9 секции)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7"/>
        </w:numPr>
        <w:ind w:left="0" w:right="0" w:firstLine="992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ЩСБГЭ 1.2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(2 секции)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7"/>
        </w:numPr>
        <w:ind w:left="0" w:right="0" w:firstLine="992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ЩСБГЭ 2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(2 секции)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7"/>
        </w:numPr>
        <w:ind w:left="0" w:right="0" w:firstLine="992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ЩСИБП 2.1.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7"/>
        </w:numPr>
        <w:ind w:left="0" w:right="0" w:firstLine="992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ЩСИБП 2.2.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7"/>
        </w:numPr>
        <w:ind w:left="0" w:right="0" w:firstLine="992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ВРУ 4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7"/>
        </w:numPr>
        <w:ind w:left="0" w:right="0" w:firstLine="992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ш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кафы с автоматическими выключателями – 13шт.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2.2.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Электрические шкафы АВР: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8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АВР-3;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8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АВР-4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98"/>
        </w:numPr>
        <w:ind w:left="0" w:right="0" w:firstLine="850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ш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каф АВР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2.3. Э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лектрические кабели и соединения между указанным и сопряженным (подключенным) с ним оборудованием и устройствами.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Проведено плановое сервисное обслуживание системы диспетчеризации центра обработки данных Правительства Новосибирской области: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W w:w="9175" w:type="dxa"/>
        <w:tblInd w:w="176" w:type="dxa"/>
        <w:tblLayout w:type="fixed"/>
        <w:tblLook w:val="04A0" w:firstRow="1" w:lastRow="0" w:firstColumn="1" w:lastColumn="0" w:noHBand="0" w:noVBand="1"/>
      </w:tblPr>
      <w:tblGrid>
        <w:gridCol w:w="811"/>
        <w:gridCol w:w="836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white"/>
              </w:rPr>
              <w:t xml:space="preserve">№</w:t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6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white"/>
              </w:rPr>
              <w:t xml:space="preserve">Наименование</w:t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1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6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Проведены планово-профилактические работы по поддержанию системы диспетчеризации в актуальном рабочем состоянии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1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6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Проведена проверка функционирования виртуального сервера системы диспетчеризации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1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6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Произведен мониторинг работы серверных компонентов системы диспетчеризации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1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6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Произведен анализ системных журналов с целью выявления и устранения проблем в работе системы диспетчеризации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1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5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6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Проведена проверка навигации по экранным формам, проверка активности кнопок управления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1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6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6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Проведена проверка функционирования мнемосхем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1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7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6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Проведена проверка формирования графических и текстовых отчётов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</w:tbl>
    <w:p>
      <w:pPr>
        <w:pStyle w:val="1179"/>
        <w:ind w:left="0" w:firstLine="851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В целях обеспечения выполнения государственного задания в рамках мероприятий по обеспечению функционирования системы мониторинга автономных дымовых пожарных извещателей с GSM-модулем Новосибирской области (далее – НСО) произведены следующие мероприятия: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</w:r>
    </w:p>
    <w:p>
      <w:pPr>
        <w:pStyle w:val="1179"/>
        <w:ind w:left="0" w:firstLine="851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1.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ab/>
        <w:t xml:space="preserve">Подготовлены и предоставлены еженедельные отчеты в ГУ МЧС России по НСО, Мин ЖКХ и Э НСО по установленной форме в количестве 12 шт.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</w:r>
    </w:p>
    <w:p>
      <w:pPr>
        <w:pStyle w:val="1179"/>
        <w:ind w:left="0" w:firstLine="851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2.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ab/>
        <w:t xml:space="preserve">Оказана практическая и методическая помощь муниципальным образованиям Новосибирской области: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</w:r>
    </w:p>
    <w:p>
      <w:pPr>
        <w:pStyle w:val="1179"/>
        <w:numPr>
          <w:ilvl w:val="0"/>
          <w:numId w:val="99"/>
        </w:numPr>
        <w:ind w:left="0" w:right="0" w:firstLine="850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в части восстановления работос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пособности системы мониторинга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автономных, дымовых пожарных извещателей – ежедневно;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</w:r>
    </w:p>
    <w:p>
      <w:pPr>
        <w:pStyle w:val="1179"/>
        <w:numPr>
          <w:ilvl w:val="0"/>
          <w:numId w:val="99"/>
        </w:numPr>
        <w:ind w:left="0" w:right="0" w:firstLine="850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в части организации мониторинга – ежедневно.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</w:r>
    </w:p>
    <w:p>
      <w:pPr>
        <w:pStyle w:val="1179"/>
        <w:ind w:left="0" w:firstLine="851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Работы по разделу эксплуатация, сопровождение и техническое администрирование ЦОД Правительства Новосибирской области, в том числе инженерных систем, программно-аппаратных комплексов и сервисов выполнены в полном объеме.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b/>
          <w:color w:val="000000"/>
          <w:sz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highlight w:val="white"/>
        </w:rPr>
        <w:t xml:space="preserve">Раздел 14. </w:t>
      </w:r>
      <w:r>
        <w:rPr>
          <w:rFonts w:ascii="Times New Roman" w:hAnsi="Times New Roman" w:eastAsia="Times New Roman" w:cs="Times New Roman"/>
          <w:b/>
          <w:color w:val="000000"/>
          <w:sz w:val="24"/>
          <w:highlight w:val="white"/>
        </w:rPr>
        <w:t xml:space="preserve">Обеспечение функционирования государ</w:t>
      </w:r>
      <w:r>
        <w:rPr>
          <w:rFonts w:ascii="Times New Roman" w:hAnsi="Times New Roman" w:eastAsia="Times New Roman" w:cs="Times New Roman"/>
          <w:b/>
          <w:color w:val="000000"/>
          <w:sz w:val="24"/>
          <w:highlight w:val="white"/>
        </w:rPr>
        <w:t xml:space="preserve">ственной информационной системы «Система обеспечения вызова экстренных оперативных служб по единому номеру «112» Новосибирской области» в части предоставления пользователям возможности доступа к сервисам системы и осуществления обратных вызовов заявителям.</w:t>
      </w:r>
      <w:r>
        <w:rPr>
          <w:rFonts w:ascii="Times New Roman" w:hAnsi="Times New Roman" w:cs="Times New Roman"/>
          <w:b/>
          <w:color w:val="000000"/>
          <w:sz w:val="24"/>
          <w:highlight w:val="white"/>
        </w:rPr>
      </w:r>
      <w:r>
        <w:rPr>
          <w:rFonts w:ascii="Times New Roman" w:hAnsi="Times New Roman" w:cs="Times New Roman"/>
          <w:b/>
          <w:color w:val="000000"/>
          <w:sz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i/>
          <w:color w:val="000000"/>
          <w:sz w:val="24"/>
          <w:highlight w:val="white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highlight w:val="white"/>
        </w:rPr>
        <w:t xml:space="preserve">Организация и настройка телефонных каналов связи и каналов связи для передачи информации.</w:t>
      </w:r>
      <w:r>
        <w:rPr>
          <w:rFonts w:ascii="Times New Roman" w:hAnsi="Times New Roman" w:cs="Times New Roman"/>
          <w:i/>
          <w:color w:val="000000"/>
          <w:sz w:val="24"/>
          <w:highlight w:val="white"/>
        </w:rPr>
      </w:r>
      <w:r>
        <w:rPr>
          <w:rFonts w:ascii="Times New Roman" w:hAnsi="Times New Roman" w:cs="Times New Roman"/>
          <w:i/>
          <w:color w:val="000000"/>
          <w:sz w:val="24"/>
          <w:highlight w:val="white"/>
        </w:rPr>
      </w:r>
    </w:p>
    <w:p>
      <w:pPr>
        <w:ind w:firstLine="851"/>
        <w:jc w:val="both"/>
        <w:spacing w:after="1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Для обеспечения функционирования государственной информационной системы «Система обеспечения вызова экстренных оперативных служб по единому номеру «112» Новосибирской области» заключены контракты: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tbl>
      <w:tblPr>
        <w:tblW w:w="9192" w:type="dxa"/>
        <w:tblInd w:w="153" w:type="dxa"/>
        <w:tblLayout w:type="fixed"/>
        <w:tblLook w:val="04A0" w:firstRow="1" w:lastRow="0" w:firstColumn="1" w:lastColumn="0" w:noHBand="0" w:noVBand="1"/>
      </w:tblPr>
      <w:tblGrid>
        <w:gridCol w:w="1543"/>
        <w:gridCol w:w="1560"/>
        <w:gridCol w:w="2684"/>
        <w:gridCol w:w="1719"/>
        <w:gridCol w:w="1686"/>
      </w:tblGrid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контракта 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Контрагент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Наименование контракта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br/>
              <w:t xml:space="preserve">(начало оказания услуг)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Дата заключения контракта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Сумма контракта, руб. с НДС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28-2025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ПАО "МТС"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Услуги внутризоновой связи 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24.12.2025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410 000,00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141-2025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ПАО "МТС"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Услуги междугородной и международной связи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25.12.2025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106 816,00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/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0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highlight w:val="white"/>
              </w:rPr>
              <w:t xml:space="preserve">Итого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highlight w:val="white"/>
              </w:rPr>
              <w:t xml:space="preserve">516 816,00</w:t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</w:tc>
      </w:tr>
    </w:tbl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В результате исполнения контрактов обеспечено предоставление пользователям возможности доступа к сервисам системы и осуществления обратных вызовов заявителям</w:t>
      </w:r>
      <w:r>
        <w:rPr>
          <w:rFonts w:ascii="Times New Roman" w:hAnsi="Times New Roman" w:eastAsia="Times New Roman" w:cs="Times New Roman"/>
          <w:b/>
          <w:sz w:val="24"/>
          <w:highlight w:val="white"/>
        </w:rPr>
        <w:t xml:space="preserve">.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Услуги за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2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квартал по контрактам оказаны в полном объёме.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851"/>
        <w:jc w:val="both"/>
        <w:spacing w:after="1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Работы по разделу обеспечения функционирования государственной информационной си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стемы «Система обеспечения вызова экстренных оперативных служб по единому номеру «112» Новосибирской области» в части предоставления пользователям возможности доступа к сервисам системы и осуществления обратных вызовов заявителям выполнены в полном объеме.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jc w:val="both"/>
        <w:spacing w:after="1" w:line="240" w:lineRule="auto"/>
        <w:rPr>
          <w:rFonts w:ascii="Times New Roman" w:hAnsi="Times New Roman" w:cs="Times New Roman"/>
          <w:b/>
          <w:sz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highlight w:val="white"/>
        </w:rPr>
      </w:r>
      <w:r>
        <w:rPr>
          <w:rFonts w:ascii="Times New Roman" w:hAnsi="Times New Roman" w:cs="Times New Roman"/>
          <w:b/>
          <w:sz w:val="24"/>
          <w:highlight w:val="white"/>
        </w:rPr>
      </w:r>
      <w:r>
        <w:rPr>
          <w:rFonts w:ascii="Times New Roman" w:hAnsi="Times New Roman" w:cs="Times New Roman"/>
          <w:b/>
          <w:sz w:val="24"/>
          <w:highlight w:val="white"/>
        </w:rPr>
      </w:r>
    </w:p>
    <w:p>
      <w:pPr>
        <w:ind w:firstLine="851"/>
        <w:jc w:val="both"/>
        <w:spacing w:after="1" w:line="240" w:lineRule="auto"/>
        <w:rPr>
          <w:rFonts w:ascii="Times New Roman" w:hAnsi="Times New Roman" w:cs="Times New Roman"/>
          <w:b/>
          <w:spacing w:val="-2"/>
          <w:sz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highlight w:val="white"/>
        </w:rPr>
        <w:t xml:space="preserve">Раздел 15. </w:t>
      </w:r>
      <w:r>
        <w:rPr>
          <w:rFonts w:ascii="Times New Roman" w:hAnsi="Times New Roman" w:eastAsia="Times New Roman" w:cs="Times New Roman"/>
          <w:b/>
          <w:color w:val="000000"/>
          <w:sz w:val="24"/>
          <w:highlight w:val="white"/>
        </w:rPr>
        <w:t xml:space="preserve">Обеспечение функционирования государственной инфокоммуникационной сети передачи данных на территории Новосибирской области.</w:t>
      </w:r>
      <w:r>
        <w:rPr>
          <w:rFonts w:ascii="Times New Roman" w:hAnsi="Times New Roman" w:cs="Times New Roman"/>
          <w:b/>
          <w:spacing w:val="-2"/>
          <w:sz w:val="24"/>
          <w:highlight w:val="white"/>
        </w:rPr>
      </w:r>
      <w:r>
        <w:rPr>
          <w:rFonts w:ascii="Times New Roman" w:hAnsi="Times New Roman" w:cs="Times New Roman"/>
          <w:b/>
          <w:spacing w:val="-2"/>
          <w:sz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i/>
          <w:color w:val="000000"/>
          <w:sz w:val="24"/>
          <w:highlight w:val="white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  <w:highlight w:val="white"/>
        </w:rPr>
        <w:t xml:space="preserve">Проведение работ по созданию, ремонту, эксплуатации и настройке оборудования участков (фрагментов) государственной инфокоммуникационной сети передачи данных на территории Новосибирской области.</w:t>
      </w:r>
      <w:r>
        <w:rPr>
          <w:rFonts w:ascii="Times New Roman" w:hAnsi="Times New Roman" w:cs="Times New Roman"/>
          <w:i/>
          <w:color w:val="000000"/>
          <w:sz w:val="24"/>
          <w:highlight w:val="white"/>
        </w:rPr>
      </w:r>
      <w:r>
        <w:rPr>
          <w:rFonts w:ascii="Times New Roman" w:hAnsi="Times New Roman" w:cs="Times New Roman"/>
          <w:i/>
          <w:color w:val="000000"/>
          <w:sz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За отчетный период проведены следующие работы: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</w:r>
    </w:p>
    <w:p>
      <w:pPr>
        <w:pStyle w:val="1179"/>
        <w:numPr>
          <w:ilvl w:val="0"/>
          <w:numId w:val="9"/>
        </w:numPr>
        <w:ind w:left="0" w:firstLine="851"/>
        <w:jc w:val="both"/>
        <w:spacing w:after="0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Выполнение работ по восстановлению линий государственной инфокоммуникационной сети передачи данных на территории Новосибирской области / территориальной информационной системы Новосибир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ской области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(10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шт.)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ind w:left="0" w:firstLine="851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За отчетный период были заключены следующие контракты: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Style w:val="1204"/>
        <w:tblW w:w="1021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56"/>
        <w:gridCol w:w="1233"/>
        <w:gridCol w:w="2123"/>
        <w:gridCol w:w="1846"/>
        <w:gridCol w:w="1276"/>
        <w:gridCol w:w="1559"/>
        <w:gridCol w:w="1417"/>
      </w:tblGrid>
      <w:tr>
        <w:tblPrEx/>
        <w:trPr>
          <w:trHeight w:val="765"/>
        </w:trPr>
        <w:tc>
          <w:tcPr>
            <w:tcW w:w="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№ обращения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12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Дата обращения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12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Наименование объекта закупки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184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Номер контракта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Дата заключения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Статус контракта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ФИО ответственного сотрудника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>
          <w:trHeight w:val="765"/>
        </w:trPr>
        <w:tc>
          <w:tcPr>
            <w:tcW w:w="756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233" w:type="dxa"/>
            <w:textDirection w:val="lrTb"/>
            <w:noWrap w:val="false"/>
          </w:tcPr>
          <w:p>
            <w:pPr>
              <w:ind w:left="0" w:right="0" w:firstLine="0"/>
              <w:jc w:val="left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30.04.2026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2123" w:type="dxa"/>
            <w:textDirection w:val="lrTb"/>
            <w:noWrap w:val="false"/>
          </w:tcPr>
          <w:p>
            <w:pPr>
              <w:ind w:left="0" w:right="0" w:firstLine="0"/>
              <w:jc w:val="left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Оказание услуг по предоставлению в пользование части линейно-кабельных сооружений для размещения кабелей министерства цифрового развития и связи Новосибирской области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846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ПД-в-69-26-01107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29.05.2026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ind w:left="0" w:right="0" w:firstLine="0"/>
              <w:jc w:val="left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На испонении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Минеева Н.В.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  <w:tr>
        <w:tblPrEx/>
        <w:trPr>
          <w:trHeight w:val="520"/>
        </w:trPr>
        <w:tc>
          <w:tcPr>
            <w:tcW w:w="756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233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07.05.2026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2123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Поставка кондиционера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846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 48-2026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19.06.2026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ind w:left="0" w:right="0" w:firstLine="0"/>
              <w:jc w:val="left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На испонении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Минеева Н.В.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  <w:tr>
        <w:tblPrEx/>
        <w:trPr>
          <w:trHeight w:val="1098"/>
        </w:trPr>
        <w:tc>
          <w:tcPr>
            <w:tcW w:w="756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233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16.03.2026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2123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Оказание услуг по техническому обслуживанию кондиционеров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846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 30-2026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03.04.2026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Исполнен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Минеева Н.В.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  <w:tr>
        <w:tblPrEx/>
        <w:trPr>
          <w:trHeight w:val="557"/>
        </w:trPr>
        <w:tc>
          <w:tcPr>
            <w:tcW w:w="756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233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16.03.2026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2123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Поставка бирок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846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 32-2026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07.04.2026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Исполнен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Шпанагель А.А.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  <w:tr>
        <w:tblPrEx/>
        <w:trPr>
          <w:trHeight w:val="557"/>
        </w:trPr>
        <w:tc>
          <w:tcPr>
            <w:tcW w:w="756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5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left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01.04.2026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2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Поставка инструментов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846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38-2026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05.05.2026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Исполнен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Шпанагель А.А.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  <w:tr>
        <w:tblPrEx/>
        <w:trPr>
          <w:trHeight w:val="699"/>
        </w:trPr>
        <w:tc>
          <w:tcPr>
            <w:tcW w:w="756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6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16.03.2026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2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Поставка блоков питания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846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 2026.443573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09.04.2026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Исполнен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Шпанагель А.А.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  <w:tr>
        <w:tblPrEx/>
        <w:trPr>
          <w:trHeight w:val="557"/>
        </w:trPr>
        <w:tc>
          <w:tcPr>
            <w:tcW w:w="756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7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3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30.04.2026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3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Поставка расходных материалов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846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 2026.633056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276" w:type="dxa"/>
            <w:vMerge w:val="restart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28.05.2026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left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На исполннии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Шпанагель А.А.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  <w:tr>
        <w:tblPrEx/>
        <w:trPr>
          <w:trHeight w:val="557"/>
        </w:trPr>
        <w:tc>
          <w:tcPr>
            <w:tcW w:w="756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8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3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16.03.2026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3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Поставка трансиверов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846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 28-2026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276" w:type="dxa"/>
            <w:vMerge w:val="restart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03.04.2026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Исполнен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Шпанагель А.А.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  <w:tr>
        <w:tblPrEx/>
        <w:trPr>
          <w:trHeight w:val="557"/>
        </w:trPr>
        <w:tc>
          <w:tcPr>
            <w:tcW w:w="756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9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3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03.04.2026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3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Поставка медиаконвертеров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846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 2026.566415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276" w:type="dxa"/>
            <w:vMerge w:val="restart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08.05.2026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Исполнен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Шпанагель А.А.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  <w:tr>
        <w:tblPrEx/>
        <w:trPr>
          <w:trHeight w:val="557"/>
        </w:trPr>
        <w:tc>
          <w:tcPr>
            <w:tcW w:w="756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10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3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03.04.2026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3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Поставка аккумуляторных батарей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846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0851200000626002363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276" w:type="dxa"/>
            <w:vMerge w:val="restart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04.05.2026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Исполнен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Шпанагель А.А.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</w:tbl>
    <w:p>
      <w:pPr>
        <w:pStyle w:val="1179"/>
        <w:ind w:left="0" w:firstLine="851"/>
        <w:jc w:val="both"/>
        <w:rPr>
          <w:rFonts w:ascii="Times New Roman" w:hAnsi="Times New Roman" w:cs="Times New Roman"/>
          <w:color w:val="ff0000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Работы по разделу обеспечения функционирования государственной инфокоммуникационной сети передачи данных на территории Новосибирской области выполнены в полном объеме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color w:val="ff0000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ff0000"/>
          <w:sz w:val="24"/>
          <w:szCs w:val="24"/>
          <w:highlight w:val="white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highlight w:val="white"/>
        </w:rPr>
        <w:t xml:space="preserve">Раздел 16. Обеспечение работоспособности телефонной сети связи</w:t>
      </w:r>
      <w:r>
        <w:rPr>
          <w:rFonts w:ascii="Times New Roman" w:hAnsi="Times New Roman" w:cs="Times New Roman"/>
          <w:b/>
          <w:sz w:val="24"/>
          <w:highlight w:val="white"/>
        </w:rPr>
      </w:r>
      <w:r>
        <w:rPr>
          <w:rFonts w:ascii="Times New Roman" w:hAnsi="Times New Roman" w:cs="Times New Roman"/>
          <w:b/>
          <w:sz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highlight w:val="white"/>
        </w:rPr>
      </w:pPr>
      <w:r>
        <w:rPr>
          <w:rFonts w:ascii="Times New Roman" w:hAnsi="Times New Roman" w:eastAsia="Times New Roman" w:cs="Times New Roman"/>
          <w:i/>
          <w:sz w:val="24"/>
          <w:highlight w:val="white"/>
        </w:rPr>
        <w:t xml:space="preserve">Ввод в эксплуатацию нового и замена неисправного оборудования телефонной сети связи. Устранение неисправностей на оборудовании телефонной сети связи. Приобретение оборудования для обеспечения работоспособности телефонной сети связи.</w:t>
      </w:r>
      <w:r>
        <w:rPr>
          <w:rFonts w:ascii="Times New Roman" w:hAnsi="Times New Roman" w:cs="Times New Roman"/>
          <w:b/>
          <w:sz w:val="24"/>
          <w:highlight w:val="white"/>
        </w:rPr>
      </w:r>
      <w:r>
        <w:rPr>
          <w:rFonts w:ascii="Times New Roman" w:hAnsi="Times New Roman" w:cs="Times New Roman"/>
          <w:b/>
          <w:sz w:val="24"/>
          <w:highlight w:val="white"/>
        </w:rPr>
      </w:r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ab/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За отчетный период проведены следующие работы: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79"/>
        <w:numPr>
          <w:ilvl w:val="0"/>
          <w:numId w:val="100"/>
        </w:numPr>
        <w:ind w:left="0" w:right="0" w:firstLine="850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Восстановлена работа оборудования тау-32 в ЦРБ Чаны.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1179"/>
        <w:numPr>
          <w:ilvl w:val="0"/>
          <w:numId w:val="100"/>
        </w:numPr>
        <w:ind w:left="0" w:right="0" w:firstLine="850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Настройка оборудования на замену в ЦРБ Болотное. Восстановлена загрузка ядра на SMG с Болотного.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1179"/>
        <w:numPr>
          <w:ilvl w:val="0"/>
          <w:numId w:val="100"/>
        </w:numPr>
        <w:ind w:left="0" w:right="0" w:firstLine="850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Создана заявка в РТК о не прохождении вызовов на экстренные службы 101, 102, 104.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1179"/>
        <w:numPr>
          <w:ilvl w:val="0"/>
          <w:numId w:val="100"/>
        </w:numPr>
        <w:ind w:left="0" w:right="0" w:firstLine="850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Замена телефонного аппарата в ГАУ ДПО НСО "ЦОиРУК".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1179"/>
        <w:numPr>
          <w:ilvl w:val="0"/>
          <w:numId w:val="100"/>
        </w:numPr>
        <w:ind w:left="0" w:right="0" w:firstLine="850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Подана заявка в РТК на  устранение неработающего телефона у мировых судей в Болотном.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1179"/>
        <w:numPr>
          <w:ilvl w:val="0"/>
          <w:numId w:val="100"/>
        </w:numPr>
        <w:ind w:left="0" w:right="0" w:firstLine="850"/>
        <w:jc w:val="both"/>
        <w:spacing w:after="0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Настройка и замена оборудования ТАУ-32 в Кольцово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Работы по разделу обеспечения работоспособности телефонной сети связи выполнены в полном объеме.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jc w:val="both"/>
        <w:spacing w:after="0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851"/>
        <w:jc w:val="both"/>
        <w:spacing w:after="0" w:line="240" w:lineRule="auto"/>
        <w:tabs>
          <w:tab w:val="left" w:pos="1125" w:leader="none"/>
        </w:tabs>
        <w:rPr>
          <w:rFonts w:ascii="Times New Roman" w:hAnsi="Times New Roman" w:cs="Times New Roman"/>
          <w:b/>
          <w:sz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highlight w:val="white"/>
        </w:rPr>
        <w:t xml:space="preserve">Раздел 17. </w:t>
      </w:r>
      <w:r>
        <w:rPr>
          <w:rFonts w:ascii="Times New Roman" w:hAnsi="Times New Roman" w:eastAsia="Times New Roman" w:cs="Times New Roman"/>
          <w:b/>
          <w:sz w:val="24"/>
          <w:highlight w:val="white"/>
        </w:rPr>
        <w:tab/>
        <w:t xml:space="preserve">Обеспечение информационного обмена участников взаимодействия в рамках территориальной информационной системы Новосибирской области</w:t>
      </w:r>
      <w:r>
        <w:rPr>
          <w:rFonts w:ascii="Times New Roman" w:hAnsi="Times New Roman" w:cs="Times New Roman"/>
          <w:b/>
          <w:sz w:val="24"/>
          <w:highlight w:val="white"/>
        </w:rPr>
      </w:r>
      <w:r>
        <w:rPr>
          <w:rFonts w:ascii="Times New Roman" w:hAnsi="Times New Roman" w:cs="Times New Roman"/>
          <w:b/>
          <w:sz w:val="24"/>
          <w:highlight w:val="white"/>
        </w:rPr>
      </w:r>
    </w:p>
    <w:p>
      <w:pPr>
        <w:ind w:firstLine="851"/>
        <w:jc w:val="both"/>
        <w:spacing w:after="0" w:line="240" w:lineRule="auto"/>
        <w:tabs>
          <w:tab w:val="left" w:pos="1125" w:leader="none"/>
        </w:tabs>
        <w:rPr>
          <w:rFonts w:ascii="Times New Roman" w:hAnsi="Times New Roman" w:cs="Times New Roman"/>
          <w:i/>
          <w:sz w:val="24"/>
          <w:highlight w:val="white"/>
        </w:rPr>
      </w:pPr>
      <w:r>
        <w:rPr>
          <w:rFonts w:ascii="Times New Roman" w:hAnsi="Times New Roman" w:eastAsia="Times New Roman" w:cs="Times New Roman"/>
          <w:i/>
          <w:sz w:val="24"/>
          <w:highlight w:val="white"/>
        </w:rPr>
        <w:t xml:space="preserve">Организация, техническое сопровождение и обеспечение функционирования информационного обмена участников взаимодействия в рамках территориальной информационной системы Новосибирской области.</w:t>
      </w:r>
      <w:r>
        <w:rPr>
          <w:rFonts w:ascii="Times New Roman" w:hAnsi="Times New Roman" w:cs="Times New Roman"/>
          <w:i/>
          <w:sz w:val="24"/>
          <w:highlight w:val="white"/>
        </w:rPr>
      </w:r>
      <w:r>
        <w:rPr>
          <w:rFonts w:ascii="Times New Roman" w:hAnsi="Times New Roman" w:cs="Times New Roman"/>
          <w:i/>
          <w:sz w:val="24"/>
          <w:highlight w:val="white"/>
        </w:rPr>
      </w:r>
    </w:p>
    <w:p>
      <w:pPr>
        <w:ind w:firstLine="851"/>
        <w:jc w:val="both"/>
        <w:spacing w:after="0" w:line="240" w:lineRule="auto"/>
        <w:tabs>
          <w:tab w:val="left" w:pos="1125" w:leader="none"/>
        </w:tabs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За отчетный период проведены следующие контракты (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2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шт.):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tbl>
      <w:tblPr>
        <w:tblW w:w="10212" w:type="dxa"/>
        <w:tblInd w:w="-4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1256"/>
        <w:gridCol w:w="2086"/>
        <w:gridCol w:w="1843"/>
        <w:gridCol w:w="1296"/>
        <w:gridCol w:w="1300"/>
        <w:gridCol w:w="1843"/>
      </w:tblGrid>
      <w:tr>
        <w:tblPrEx/>
        <w:trPr>
          <w:trHeight w:val="960"/>
        </w:trPr>
        <w:tc>
          <w:tcPr>
            <w:shd w:val="clear" w:color="auto" w:fill="auto"/>
            <w:tcW w:w="588" w:type="dxa"/>
            <w:vAlign w:val="center"/>
            <w:textDirection w:val="lrTb"/>
            <w:noWrap w:val="false"/>
          </w:tcPr>
          <w:p>
            <w:pPr>
              <w:ind w:left="-96" w:right="-97"/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№ обращения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1256" w:type="dxa"/>
            <w:vAlign w:val="center"/>
            <w:textDirection w:val="lrTb"/>
            <w:noWrap w:val="false"/>
          </w:tcPr>
          <w:p>
            <w:pPr>
              <w:ind w:left="-127"/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Дата обращения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208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Наименование объекта закупки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Номер контракта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1296" w:type="dxa"/>
            <w:vAlign w:val="center"/>
            <w:textDirection w:val="lrTb"/>
            <w:noWrap w:val="false"/>
          </w:tcPr>
          <w:p>
            <w:pPr>
              <w:ind w:left="-57"/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Дата заключения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Статус контракта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ФИО ответственного сотрудника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1905"/>
        </w:trPr>
        <w:tc>
          <w:tcPr>
            <w:tcW w:w="5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2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08.05.2026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20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2"/>
                <w:szCs w:val="22"/>
                <w:highlight w:val="white"/>
              </w:rPr>
              <w:t xml:space="preserve">Оказание услуг связи для участников взаимодействия в рамках ТИС НСО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2"/>
                <w:szCs w:val="22"/>
                <w:highlight w:val="white"/>
              </w:rPr>
              <w:t xml:space="preserve">2026.695689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296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2"/>
                <w:szCs w:val="22"/>
                <w:highlight w:val="white"/>
              </w:rPr>
              <w:t xml:space="preserve">09.06.2026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30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2"/>
                <w:szCs w:val="22"/>
                <w:highlight w:val="white"/>
              </w:rPr>
              <w:t xml:space="preserve">На исполнении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Шпанагель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 А.А.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1905"/>
        </w:trPr>
        <w:tc>
          <w:tcPr>
            <w:tcW w:w="58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256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08.05.2026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2086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2"/>
                <w:szCs w:val="22"/>
                <w:highlight w:val="white"/>
              </w:rPr>
              <w:t xml:space="preserve">Оказание услуг по предоставлению доступа к сетям передачи данных и каналу виртуальной частной сети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2"/>
                <w:szCs w:val="22"/>
                <w:highlight w:val="white"/>
              </w:rPr>
              <w:t xml:space="preserve">2026.640408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296" w:type="dxa"/>
            <w:vMerge w:val="restar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2"/>
                <w:szCs w:val="22"/>
                <w:highlight w:val="white"/>
              </w:rPr>
              <w:t xml:space="preserve">28.05.2026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30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2"/>
                <w:szCs w:val="22"/>
                <w:highlight w:val="white"/>
              </w:rPr>
              <w:t xml:space="preserve">На исполнении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Шпанагель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 А.А.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1905"/>
        </w:trPr>
        <w:tc>
          <w:tcPr>
            <w:tcW w:w="58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256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2"/>
                <w:szCs w:val="22"/>
                <w:highlight w:val="white"/>
              </w:rPr>
              <w:t xml:space="preserve">03.04.2026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2086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2"/>
                <w:szCs w:val="22"/>
                <w:highlight w:val="white"/>
              </w:rPr>
              <w:t xml:space="preserve">Оказание услуг по предоставлению канала связи для функционирования государственной инфокоммуникационной сети передачи данных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2"/>
                <w:szCs w:val="22"/>
                <w:highlight w:val="white"/>
              </w:rPr>
              <w:t xml:space="preserve">40-2026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296" w:type="dxa"/>
            <w:vMerge w:val="restart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1a1a1a"/>
                <w:sz w:val="22"/>
                <w:szCs w:val="22"/>
                <w:highlight w:val="white"/>
              </w:rPr>
              <w:t xml:space="preserve">08.05.2026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300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1a1a1a"/>
                <w:sz w:val="22"/>
                <w:szCs w:val="22"/>
                <w:highlight w:val="white"/>
              </w:rPr>
              <w:t xml:space="preserve">На исполнении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1a1a1a"/>
                <w:sz w:val="22"/>
                <w:szCs w:val="22"/>
                <w:highlight w:val="white"/>
              </w:rPr>
              <w:t xml:space="preserve">Минеева Н.А.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1905"/>
        </w:trPr>
        <w:tc>
          <w:tcPr>
            <w:tcW w:w="5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2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2"/>
                <w:szCs w:val="22"/>
                <w:highlight w:val="white"/>
              </w:rPr>
              <w:t xml:space="preserve">08.05.2026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20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2"/>
                <w:szCs w:val="22"/>
                <w:highlight w:val="white"/>
              </w:rPr>
              <w:t xml:space="preserve">Оказание услуг по обеспечению информационного обмена для участников взаимодействия в рамках ТИС НСО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2"/>
                <w:szCs w:val="22"/>
                <w:highlight w:val="white"/>
              </w:rPr>
              <w:t xml:space="preserve">42-2026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296" w:type="dxa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1a1a1a"/>
                <w:sz w:val="22"/>
                <w:szCs w:val="22"/>
                <w:highlight w:val="white"/>
              </w:rPr>
              <w:t xml:space="preserve">26.05.2026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300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1a1a1a"/>
                <w:sz w:val="22"/>
                <w:szCs w:val="22"/>
                <w:highlight w:val="white"/>
              </w:rPr>
              <w:t xml:space="preserve">На исполнении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1a1a1a"/>
                <w:sz w:val="22"/>
                <w:szCs w:val="22"/>
                <w:highlight w:val="white"/>
              </w:rPr>
              <w:t xml:space="preserve">Шпанагель А.А.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</w:tbl>
    <w:p>
      <w:pPr>
        <w:ind w:firstLine="851"/>
        <w:jc w:val="both"/>
        <w:spacing w:after="0" w:line="240" w:lineRule="auto"/>
        <w:tabs>
          <w:tab w:val="left" w:pos="1080" w:leader="none"/>
        </w:tabs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В рамках исполнения государственной работы «Обеспечение информационного обмена участников взаимодействия в рамках территориальной информационной системы Новосибирской области» заключен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контракт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для обеспечения рассылки информационных смс-сообщений и отправки сообщений для подключения к сетям Wi-Fi в рамках территориальной информационно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й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системы Новосибирской области: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tbl>
      <w:tblPr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277"/>
        <w:gridCol w:w="1843"/>
        <w:gridCol w:w="2976"/>
        <w:gridCol w:w="1985"/>
        <w:gridCol w:w="2268"/>
      </w:tblGrid>
      <w:tr>
        <w:tblPrEx/>
        <w:trPr>
          <w:trHeight w:val="61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1080" w:leader="none"/>
              </w:tabs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highlight w:val="white"/>
              </w:rPr>
              <w:t xml:space="preserve">№ контракта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1080" w:leader="none"/>
              </w:tabs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highlight w:val="white"/>
              </w:rPr>
              <w:t xml:space="preserve">Контрагент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1080" w:leader="none"/>
              </w:tabs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highlight w:val="white"/>
              </w:rPr>
              <w:t xml:space="preserve">Наименование контракта</w:t>
            </w:r>
            <w:r>
              <w:rPr>
                <w:rFonts w:ascii="Times New Roman" w:hAnsi="Times New Roman" w:eastAsia="Times New Roman" w:cs="Times New Roman"/>
                <w:iCs/>
                <w:highlight w:val="white"/>
              </w:rPr>
              <w:br/>
              <w:t xml:space="preserve">(начало оказания услуг)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1080" w:leader="none"/>
              </w:tabs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highlight w:val="white"/>
              </w:rPr>
              <w:t xml:space="preserve">Дата заключения контракта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1080" w:leader="none"/>
              </w:tabs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highlight w:val="white"/>
              </w:rPr>
              <w:t xml:space="preserve">Сумма контракта, руб. с НДС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1080" w:leader="none"/>
              </w:tabs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highlight w:val="white"/>
              </w:rPr>
              <w:t xml:space="preserve">8-2026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1080" w:leader="none"/>
              </w:tabs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highlight w:val="white"/>
              </w:rPr>
              <w:t xml:space="preserve">ПАО "Мегафон"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1080" w:leader="none"/>
              </w:tabs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highlight w:val="white"/>
              </w:rPr>
              <w:t xml:space="preserve">Оказание услуг SMS-информирования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1080" w:leader="none"/>
              </w:tabs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highlight w:val="white"/>
              </w:rPr>
              <w:t xml:space="preserve">20.02.2026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1080" w:leader="none"/>
              </w:tabs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highlight w:val="white"/>
              </w:rPr>
              <w:t xml:space="preserve">180 000,00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</w:tbl>
    <w:p>
      <w:pPr>
        <w:ind w:firstLine="851"/>
        <w:jc w:val="both"/>
        <w:spacing w:after="0" w:line="240" w:lineRule="auto"/>
        <w:tabs>
          <w:tab w:val="left" w:pos="1125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Работы по разделу обеспечению информационного обмена участников взаимодействия в рамках территориальной информационной системы Новосибирской области выполнены в полном объеме.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b/>
          <w:sz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highlight w:val="white"/>
        </w:rPr>
        <w:t xml:space="preserve">Раздел 18. Обслуживание участников взаимодействия в рамках территориальной информационной системы Новосибирской области, в части обеспечения компьютерной, организационной техникой, комплектующими и расходными материалами, программным обеспечением</w:t>
      </w:r>
      <w:r>
        <w:rPr>
          <w:rFonts w:ascii="Times New Roman" w:hAnsi="Times New Roman" w:cs="Times New Roman"/>
          <w:b/>
          <w:sz w:val="24"/>
          <w:highlight w:val="white"/>
        </w:rPr>
      </w:r>
      <w:r>
        <w:rPr>
          <w:rFonts w:ascii="Times New Roman" w:hAnsi="Times New Roman" w:cs="Times New Roman"/>
          <w:b/>
          <w:sz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b/>
          <w:sz w:val="24"/>
          <w:highlight w:val="white"/>
        </w:rPr>
      </w:pPr>
      <w:r>
        <w:rPr>
          <w:rFonts w:ascii="Times New Roman" w:hAnsi="Times New Roman" w:eastAsia="Times New Roman" w:cs="Times New Roman"/>
          <w:i/>
          <w:sz w:val="24"/>
          <w:highlight w:val="white"/>
        </w:rPr>
        <w:t xml:space="preserve">Обеспечение работы участн</w:t>
      </w:r>
      <w:r>
        <w:rPr>
          <w:rFonts w:ascii="Times New Roman" w:hAnsi="Times New Roman" w:eastAsia="Times New Roman" w:cs="Times New Roman"/>
          <w:i/>
          <w:sz w:val="24"/>
          <w:highlight w:val="white"/>
        </w:rPr>
        <w:t xml:space="preserve">иков взаимодействия в рамках территориальной информационной системы Новосибирской области, в части обеспечения компьютерной, организационной техникой, комплектующими и расходными материалами, программным обеспечением, а также его техническое обслуживание. </w:t>
      </w:r>
      <w:r>
        <w:rPr>
          <w:rFonts w:ascii="Times New Roman" w:hAnsi="Times New Roman" w:cs="Times New Roman"/>
          <w:b/>
          <w:sz w:val="24"/>
          <w:highlight w:val="white"/>
        </w:rPr>
      </w:r>
      <w:r>
        <w:rPr>
          <w:rFonts w:ascii="Times New Roman" w:hAnsi="Times New Roman" w:cs="Times New Roman"/>
          <w:b/>
          <w:sz w:val="24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За отчетный период были проведены следующие работы: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Для организации оказания услуг по предоставлению (передаче) неисключительных (пользовательских) прав на программное обеспечение для нужд Правительства Новосибирской области проведены следующие мероприятия: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851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 1. Передача лицензий в органы государственной власти согласно утвержденному плану.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 2. Написание сопроводительной документации по адаптации программного обеспечения для взаимодействия автоматизированного рабочего места с периферийными устройствами (драйверов).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3. Поддержание в актуальном состоянии пакетов стороннего ПО, доработанных под нужды Правительства Новосибирской области.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4. Оптимизация интеграционных скриптов для расширения ключевых функциональных возможностей.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5. Обновление системы хранения конфиденциальной информации (паролей) учреждения.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6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. Оптимизация и полная настройка функционала портала glpi.arm.loc, обеспечившие централизованный и эффективный сбор исчерпывающей информации о программном обеспечении и аппаратном составе автоматизированных рабочих мест (АРМ) в сети Правительства Новосибир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ской области.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7. Адаптация и развертывание версии 25.12 национального мессенджера MAX для ОС «Альт», проведение работ по его интеграции, распространению и обеспечению корректной работы в целевой среде.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8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. Тестирование версии 26.10 мессенджера MAX на новой компонентной платформе (Qt6) в различных операционных системах (ОС «Альт», Astra Linux, Windows) с фиксацией преимуществ и ограничений по сравнению с веб-версией приложения применительно к внедряемому ди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стрибутиву ОС «Альт СП».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9. Обновление программного обеспечения Securlogon для двухфакторной аутентификации на всех рабочих местах (АРМ) с целью повышения надёжности и стабильности процесса входа пользователей.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10. Разработка системы мониторинга SSL‑сертификатов, обеспечивающей централизованный контроль сроков действия и корректности сертификатов.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11.  Адаптация RPM-пакета для сканера Fujitsu SP1130.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12.  Добавление функционала в скрипт по обновлению релиза ОС «Альт СП» с версии c10f1 до c10f2.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13.  Обновление скрипта сценариев контекстного меню проводника (action-scripts).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14.  Публикация и обновление двух статей на портале технико-методической поддержки импортозамещения (wiki.nso.ru).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15. Перевод в продуктивную среду второй версии веб-приложения по распределению, управлению задачами и аналитике для системных инженеров внедрения отдела ОТиМПИ.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16.  Актуализация базы импортозамещенных АРМ для интеграции в сервис распределения, управления задачами и аналитики для системных инженеров внедрения отдела ОТиМПИ.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17.</w:t>
        <w:tab/>
        <w:t xml:space="preserve">Проведены рабочие встречи с ОЦРДТЮ и Минприроды. По результатам встреч составлены планы тестирования программного обеспечения для внедрения на АРМ сотрудников организаций. Тестирование находится в процессе исполнения сценариев.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18. Проведено тестирование и адаптация линукс-версий 1.3.2 и 1.3.3 СПО Анкета ГС (МС). По результатам адаптированный пакет добавлен в «кастомный» репозиторий.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19. Проведена углубленная аналитическая работа с органами власти и подведомственными  учреждениями по устранению блокирующих факторов для импортозамещения. 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20. Проведена проверка совместимости регионального сегмента Федеральной информационной системы «ФГИС УПЧ» на площадке Уполномоченного по правам человека Новосибирской области. Подтверждена совместимость комплекса для работы в среде российской ОС «Альт СП»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, техническое обоснование по результатам тестирования передано в исполнительные органы федерального субъекта.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21. Проведено подробное тестирование двух версий «предрелизов» настольных редакторов Р7-Офис: 2026.1.3-2139 и 2026.2.1-2269. К сожалению, возможность продуктовой эксплуатации при переходе в статус официального релиза не подтверждена.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22. Проведено сравнительное тестирование облачных версий Р7-Офис и Яндекс.360.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23. Доработаны 3 скрипта – автоматизированных решения для установки узкоспециализированного ПО / компонентов ИС в инфраструктуре СУАРМ сети Правительства.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24. Проведено тестирование альтернативной сборки Яндекс.Браузера 26.3.1, проверена его корректная работа на порталах Электронного бюджета и Гос.закупок, пакет размещен в постоянный репозиторий СУАРМ.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25. В техническую поддержку Р7-Офис заведено 2 новых обращения по найденным дефектам (запросу дополнительных функциональностей) офисных редакторов.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26.</w:t>
      </w:r>
      <w:r>
        <w:rPr>
          <w:rFonts w:ascii="Times New Roman" w:hAnsi="Times New Roman" w:eastAsia="Times New Roman" w:cs="Times New Roman"/>
          <w:sz w:val="24"/>
          <w:highlight w:val="white"/>
        </w:rPr>
        <w:tab/>
        <w:t xml:space="preserve">Согласован и зарегистрирован регламент «Порядок обеспечения технического и методического сопровождения автоматизированного рабочего места с российским программным обеспечением на платформе операционной системы Альт в рамках третьей линии технической подде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ржки» под номером №144-од от 25 июня 2026.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27. </w:t>
        <w:tab/>
        <w:t xml:space="preserve">Проводятся мероприятия по внедрению импортозамещённой ОС, внедрено в 33 органах власти ОС Альт Линукс.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28. Проводятся мероприятия по установке корпоративной системы электронного документооборота "CompanyMedia" (СЭДД), установлено на 52 рабочих местах под управлением ОС Альт СП.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29. </w:t>
        <w:tab/>
        <w:t xml:space="preserve">Обновление релиза ОС Альт СП до Альт Линукс СП релиз 10 на 104 рабочих местах.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В рамках отчетного периода были реализованы следующие мероприятия: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1179"/>
        <w:numPr>
          <w:ilvl w:val="0"/>
          <w:numId w:val="45"/>
        </w:numPr>
        <w:ind w:left="0" w:right="0" w:firstLine="850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Организовано и проведено 4 очных встречи со слушателями обучающих курсов по освоению РПО в Корпоративном университете Правительства Новосибирской области ГАУ ДПО НСО "Центр оценки и развития управленческих компетенций" в формате доклада и консультаций по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проблемам использования РПО.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1179"/>
        <w:numPr>
          <w:ilvl w:val="0"/>
          <w:numId w:val="45"/>
        </w:numPr>
        <w:ind w:left="0" w:firstLine="850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Совместно со специалистами «Базальт СПО» участие в качестве технических экспертов на мероприятии «FestivAlt», организованного в партнерстве с университетом связи СибГУТИ, в т.ч. в составе жюри Хакатона, проводимого среди учащихся технологических колледжей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и 1 курса университета.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1179"/>
        <w:numPr>
          <w:ilvl w:val="0"/>
          <w:numId w:val="45"/>
        </w:numPr>
        <w:ind w:left="0" w:firstLine="850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На постоянной основе оказывается качественная техническая и методическая поддержка органам власти по вопросам организации и проведения мероприятий, связанных с импортозамещением – в формате консультаций в профильных группах MAX, а также обращений в службу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технической поддержки Минцифры НСО.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1179"/>
        <w:numPr>
          <w:ilvl w:val="0"/>
          <w:numId w:val="45"/>
        </w:numPr>
        <w:ind w:left="0" w:firstLine="850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Исполнен 2 этап контрактов на оказание услуг по обеспечению доступа к технической поддержке от производителя программно-аппаратного комплекса «ИТ-инфраструктура» и оказание услуг по обеспечению доступа к технической поддержке от производителя программного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комплекса управления программным обеспечением в сети Правительства Новосибирской области.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tabs>
          <w:tab w:val="left" w:pos="990" w:leader="none"/>
        </w:tabs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ab/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За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2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квартал 202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6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года в части обеспечения работы участников взаимодействия в рамках территориальной информационной системы Новосибирской области, в части технического обслуживания компьют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ерной, организационной техники в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Service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Desk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ыполнено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1a1a1a"/>
          <w:sz w:val="22"/>
          <w:szCs w:val="22"/>
          <w:highlight w:val="white"/>
        </w:rPr>
        <w:t xml:space="preserve">1 315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заяв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ок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В состав которых входят: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48"/>
        </w:numPr>
        <w:ind w:left="0" w:right="0" w:firstLine="850"/>
        <w:jc w:val="both"/>
        <w:spacing w:after="0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устранение неисправностей на рабочем месте сотрудников при работе с компьютером;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48"/>
        </w:numPr>
        <w:ind w:left="0" w:right="0" w:firstLine="850"/>
        <w:jc w:val="both"/>
        <w:spacing w:after="0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устранение неисправностей устройств вывода информации;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48"/>
        </w:numPr>
        <w:ind w:left="0" w:right="0" w:firstLine="850"/>
        <w:jc w:val="both"/>
        <w:spacing w:after="0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устранение сетевых неисправностей со стороны пользователя;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48"/>
        </w:numPr>
        <w:ind w:left="0" w:right="0" w:firstLine="850"/>
        <w:jc w:val="both"/>
        <w:spacing w:after="0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настройка принтера на рабочем месте как локально, так и по сети;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48"/>
        </w:numPr>
        <w:ind w:left="0" w:right="0" w:firstLine="850"/>
        <w:jc w:val="both"/>
        <w:spacing w:after="0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перенос персонального компьютера и оргтехники;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48"/>
        </w:numPr>
        <w:ind w:left="0" w:right="0" w:firstLine="850"/>
        <w:jc w:val="both"/>
        <w:spacing w:after="0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чистка компьютерной техники;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48"/>
        </w:numPr>
        <w:ind w:left="0" w:right="0" w:firstLine="850"/>
        <w:jc w:val="both"/>
        <w:spacing w:after="0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установка программного обеспечения с последующей установкой персонального компьютера на рабочее место пользователя;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48"/>
        </w:numPr>
        <w:ind w:left="0" w:right="0" w:firstLine="850"/>
        <w:jc w:val="both"/>
        <w:spacing w:after="0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установка специализированного программного обеспечения по желаниям пользователей (другой браузер, различные бесплатные приложения и т.д.);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numPr>
          <w:ilvl w:val="0"/>
          <w:numId w:val="48"/>
        </w:numPr>
        <w:ind w:left="0" w:right="0" w:firstLine="850"/>
        <w:jc w:val="both"/>
        <w:spacing w:after="0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организация удаленного доступа сотрудников областных исполнительных органов государственной власти Новосибирской области к внутренним ресурсам сети Правительства Новосибирской области, для обеспечения дистанционной работы.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Произведена установка компьютерной техники с программным обеспечением и оргтехники, согласно прилагаемому перечню: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tbl>
      <w:tblPr>
        <w:tblW w:w="9639" w:type="dxa"/>
        <w:tblInd w:w="132" w:type="dxa"/>
        <w:tblLayout w:type="fixed"/>
        <w:tblCellMar>
          <w:left w:w="55" w:type="dxa"/>
          <w:top w:w="55" w:type="dxa"/>
          <w:right w:w="55" w:type="dxa"/>
          <w:bottom w:w="55" w:type="dxa"/>
        </w:tblCellMar>
        <w:tblLook w:val="04A0" w:firstRow="1" w:lastRow="0" w:firstColumn="1" w:lastColumn="0" w:noHBand="0" w:noVBand="1"/>
      </w:tblPr>
      <w:tblGrid>
        <w:gridCol w:w="3969"/>
        <w:gridCol w:w="3400"/>
        <w:gridCol w:w="2270"/>
      </w:tblGrid>
      <w:tr>
        <w:tblPrEx/>
        <w:trPr>
          <w:trHeight w:val="34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969" w:type="dxa"/>
            <w:textDirection w:val="lrTb"/>
            <w:noWrap w:val="false"/>
          </w:tcPr>
          <w:p>
            <w:pPr>
              <w:ind w:left="-53" w:right="364"/>
              <w:jc w:val="center"/>
              <w:spacing w:after="0"/>
              <w:widowControl w:val="off"/>
              <w:rPr>
                <w:rFonts w:ascii="Times New Roman" w:hAnsi="Times New Roman" w:cs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highlight w:val="white"/>
              </w:rPr>
              <w:t xml:space="preserve">Назначение устройства</w:t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</w:p>
        </w:tc>
        <w:tc>
          <w:tcPr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W w:w="3400" w:type="dxa"/>
            <w:textDirection w:val="lrTb"/>
            <w:noWrap w:val="false"/>
          </w:tcPr>
          <w:p>
            <w:pPr>
              <w:ind w:firstLine="851"/>
              <w:spacing w:after="0"/>
              <w:widowControl w:val="off"/>
              <w:rPr>
                <w:rFonts w:ascii="Times New Roman" w:hAnsi="Times New Roman" w:cs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highlight w:val="white"/>
              </w:rPr>
              <w:t xml:space="preserve">Проводимая работа</w:t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</w:p>
        </w:tc>
        <w:tc>
          <w:tcPr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W w:w="2270" w:type="dxa"/>
            <w:textDirection w:val="lrTb"/>
            <w:noWrap w:val="false"/>
          </w:tcPr>
          <w:p>
            <w:pPr>
              <w:ind w:firstLine="851"/>
              <w:spacing w:after="0"/>
              <w:widowControl w:val="off"/>
              <w:rPr>
                <w:rFonts w:ascii="Times New Roman" w:hAnsi="Times New Roman" w:cs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highlight w:val="white"/>
              </w:rPr>
              <w:t xml:space="preserve">Кол-во</w:t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969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АРМ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tcBorders>
              <w:bottom w:val="single" w:color="000000" w:sz="8" w:space="0"/>
              <w:right w:val="single" w:color="000000" w:sz="8" w:space="0"/>
            </w:tcBorders>
            <w:tcW w:w="3400" w:type="dxa"/>
            <w:textDirection w:val="lrTb"/>
            <w:noWrap w:val="false"/>
          </w:tcPr>
          <w:p>
            <w:pPr>
              <w:ind w:firstLine="851"/>
              <w:spacing w:after="0"/>
              <w:widowControl w:val="off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Установка нового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tcBorders>
              <w:bottom w:val="single" w:color="000000" w:sz="8" w:space="0"/>
              <w:right w:val="single" w:color="000000" w:sz="8" w:space="0"/>
            </w:tcBorders>
            <w:tcW w:w="227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969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Ноутбук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tcBorders>
              <w:bottom w:val="single" w:color="000000" w:sz="8" w:space="0"/>
              <w:right w:val="single" w:color="000000" w:sz="8" w:space="0"/>
            </w:tcBorders>
            <w:tcW w:w="3400" w:type="dxa"/>
            <w:textDirection w:val="lrTb"/>
            <w:noWrap w:val="false"/>
          </w:tcPr>
          <w:p>
            <w:pPr>
              <w:ind w:firstLine="851"/>
              <w:spacing w:after="0"/>
              <w:widowControl w:val="off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Установка нового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tcBorders>
              <w:bottom w:val="single" w:color="000000" w:sz="8" w:space="0"/>
              <w:right w:val="single" w:color="000000" w:sz="8" w:space="0"/>
            </w:tcBorders>
            <w:tcW w:w="227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79"/>
        </w:trPr>
        <w:tc>
          <w:tcPr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969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Планшет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tcBorders>
              <w:bottom w:val="single" w:color="000000" w:sz="8" w:space="0"/>
              <w:right w:val="single" w:color="000000" w:sz="8" w:space="0"/>
            </w:tcBorders>
            <w:tcW w:w="3400" w:type="dxa"/>
            <w:textDirection w:val="lrTb"/>
            <w:noWrap w:val="false"/>
          </w:tcPr>
          <w:p>
            <w:pPr>
              <w:ind w:firstLine="851"/>
              <w:spacing w:after="0"/>
              <w:widowControl w:val="off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Установка нового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tcBorders>
              <w:bottom w:val="single" w:color="000000" w:sz="8" w:space="0"/>
              <w:right w:val="single" w:color="000000" w:sz="8" w:space="0"/>
            </w:tcBorders>
            <w:tcW w:w="227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969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МФУ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tcBorders>
              <w:bottom w:val="single" w:color="000000" w:sz="8" w:space="0"/>
              <w:right w:val="single" w:color="000000" w:sz="8" w:space="0"/>
            </w:tcBorders>
            <w:tcW w:w="3400" w:type="dxa"/>
            <w:textDirection w:val="lrTb"/>
            <w:noWrap w:val="false"/>
          </w:tcPr>
          <w:p>
            <w:pPr>
              <w:ind w:firstLine="851"/>
              <w:spacing w:after="0"/>
              <w:widowControl w:val="off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Установка нового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tcBorders>
              <w:bottom w:val="single" w:color="000000" w:sz="8" w:space="0"/>
              <w:right w:val="single" w:color="000000" w:sz="8" w:space="0"/>
            </w:tcBorders>
            <w:tcW w:w="227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396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Сканер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Borders>
              <w:bottom w:val="single" w:color="000000" w:sz="8" w:space="0"/>
              <w:right w:val="single" w:color="000000" w:sz="8" w:space="0"/>
            </w:tcBorders>
            <w:tcW w:w="3400" w:type="dxa"/>
            <w:textDirection w:val="lrTb"/>
            <w:noWrap w:val="false"/>
          </w:tcPr>
          <w:p>
            <w:pPr>
              <w:ind w:firstLine="851"/>
              <w:spacing w:after="0"/>
              <w:widowControl w:val="off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Установка нового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</w:tc>
        <w:tc>
          <w:tcPr>
            <w:tcBorders>
              <w:bottom w:val="single" w:color="000000" w:sz="8" w:space="0"/>
              <w:right w:val="single" w:color="000000" w:sz="8" w:space="0"/>
            </w:tcBorders>
            <w:tcW w:w="227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836967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969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rFonts w:ascii="Times New Roman" w:hAnsi="Times New Roman" w:cs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highlight w:val="white"/>
              </w:rPr>
              <w:t xml:space="preserve">Итого:</w:t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836967" w:sz="6" w:space="0"/>
              <w:left w:val="single" w:color="836967" w:sz="6" w:space="0"/>
              <w:bottom w:val="single" w:color="000000" w:sz="8" w:space="0"/>
              <w:right w:val="single" w:color="000000" w:sz="8" w:space="0"/>
            </w:tcBorders>
            <w:tcW w:w="3400" w:type="dxa"/>
            <w:textDirection w:val="lrTb"/>
            <w:noWrap w:val="false"/>
          </w:tcPr>
          <w:p>
            <w:pPr>
              <w:ind w:firstLine="851"/>
              <w:spacing w:after="0"/>
              <w:widowControl w:val="off"/>
              <w:rPr>
                <w:rFonts w:ascii="Times New Roman" w:hAnsi="Times New Roman" w:cs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836967" w:sz="6" w:space="0"/>
              <w:left w:val="single" w:color="836967" w:sz="6" w:space="0"/>
              <w:bottom w:val="single" w:color="000000" w:sz="8" w:space="0"/>
              <w:right w:val="single" w:color="000000" w:sz="8" w:space="0"/>
            </w:tcBorders>
            <w:tcW w:w="227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rFonts w:ascii="Times New Roman" w:hAnsi="Times New Roman" w:cs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highlight w:val="white"/>
              </w:rPr>
              <w:t xml:space="preserve">97</w:t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highlight w:val="white"/>
              </w:rPr>
            </w:r>
          </w:p>
        </w:tc>
      </w:tr>
    </w:tbl>
    <w:p>
      <w:pPr>
        <w:ind w:firstLine="851"/>
        <w:jc w:val="both"/>
        <w:spacing w:after="0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Замена расходных материалов и комплектующих в количестве 984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единицы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За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2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квартал 202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6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заключены контракты для обеспечения работы участ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ников взаимодействия в рамках территориальной информационной системы Новосибирской области, в части обеспечения компьютерной, организационной техникой, комплектующими и расходными материалами, программным обеспечением, а также его техническое обслуживание: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tbl>
      <w:tblPr>
        <w:tblW w:w="1034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64"/>
        <w:gridCol w:w="2870"/>
        <w:gridCol w:w="1391"/>
        <w:gridCol w:w="1685"/>
        <w:gridCol w:w="2552"/>
        <w:gridCol w:w="283"/>
      </w:tblGrid>
      <w:tr>
        <w:tblPrEx/>
        <w:trPr>
          <w:gridAfter w:val="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ind w:firstLine="22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контракта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0" w:type="dxa"/>
            <w:vAlign w:val="center"/>
            <w:textDirection w:val="lrTb"/>
            <w:noWrap w:val="false"/>
          </w:tcPr>
          <w:p>
            <w:pPr>
              <w:ind w:firstLine="22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Наименование контракта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br/>
              <w:t xml:space="preserve">(начало оказания услуг)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1" w:type="dxa"/>
            <w:vAlign w:val="center"/>
            <w:textDirection w:val="lrTb"/>
            <w:noWrap w:val="false"/>
          </w:tcPr>
          <w:p>
            <w:pPr>
              <w:ind w:firstLine="22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Дата заключения контракта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5" w:type="dxa"/>
            <w:vAlign w:val="center"/>
            <w:textDirection w:val="lrTb"/>
            <w:noWrap w:val="false"/>
          </w:tcPr>
          <w:p>
            <w:pPr>
              <w:ind w:firstLine="22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Сумма контракта, руб. с НДС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ind w:firstLine="22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  <w:p>
            <w:pPr>
              <w:ind w:firstLine="22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Выполнение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ffffff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0351200025026000008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87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Поставка источников бесперебойного питания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39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28.05.2026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68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3 370 200,00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Borders>
              <w:bottom w:val="single" w:color="000000" w:sz="8" w:space="0"/>
              <w:right w:val="single" w:color="000000" w:sz="8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На исполнении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>
          <w:trHeight w:val="902"/>
        </w:trPr>
        <w:tc>
          <w:tcPr>
            <w:shd w:val="clear" w:color="auto" w:fill="ffffff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0351200025026000011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87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Поставка накопителей данных внутренних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39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18.06.2026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68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4 491 750,00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Borders>
              <w:bottom w:val="single" w:color="000000" w:sz="8" w:space="0"/>
              <w:right w:val="single" w:color="000000" w:sz="8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На исполнении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0351200025026000009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87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Поставка накопителей данных внутренних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39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16.06.2026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68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581 560,00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Borders>
              <w:bottom w:val="single" w:color="000000" w:sz="8" w:space="0"/>
              <w:right w:val="single" w:color="000000" w:sz="8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На исполнении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0351200025026000010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87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Поставка накопителей данных внутренних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39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16.06.2026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68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802 750,00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Borders>
              <w:bottom w:val="single" w:color="000000" w:sz="8" w:space="0"/>
              <w:right w:val="single" w:color="000000" w:sz="8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На исполнении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49-2026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87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Поставка многофункционального устройства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39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9.06.2026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68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248 000,00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Borders>
              <w:bottom w:val="single" w:color="000000" w:sz="8" w:space="0"/>
              <w:right w:val="single" w:color="000000" w:sz="8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На исполнении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0851200000626001677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87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Оказание услуг по техническому обслуживанию оргтехники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39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06.04.2026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68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11 880 000,00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Borders>
              <w:bottom w:val="single" w:color="000000" w:sz="8" w:space="0"/>
              <w:right w:val="single" w:color="000000" w:sz="8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На исполнении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0851200000626003926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87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Поставка комплектующих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39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26.06.2026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68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2 173 460,00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Borders>
              <w:bottom w:val="single" w:color="000000" w:sz="8" w:space="0"/>
              <w:right w:val="single" w:color="000000" w:sz="8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На исполнении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46-2026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87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Поставка  расходных материалов для оргтехники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39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03.06.2026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68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550 000,00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Borders>
              <w:bottom w:val="single" w:color="000000" w:sz="8" w:space="0"/>
              <w:right w:val="single" w:color="000000" w:sz="8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Исполнен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 39-2026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87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Поставка видеокарты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39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08.05.2026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68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191 600,00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Borders>
              <w:bottom w:val="single" w:color="000000" w:sz="8" w:space="0"/>
              <w:right w:val="single" w:color="000000" w:sz="8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Исполнен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44-2026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87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Оказание услуг по ответственному хранению и складированию товарно-материальных ценностей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39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29.05.2026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68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599 700,00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Borders>
              <w:bottom w:val="single" w:color="000000" w:sz="8" w:space="0"/>
              <w:right w:val="single" w:color="000000" w:sz="8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На исполнении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41-2026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87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Оказание услуг по предоставлению во временное владение и пользование нежилых помещений (аренда)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39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28.05.2026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68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1 094 500,00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Borders>
              <w:bottom w:val="single" w:color="000000" w:sz="8" w:space="0"/>
              <w:right w:val="single" w:color="000000" w:sz="8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white"/>
              </w:rPr>
              <w:t xml:space="preserve">На исполнении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>
          <w:trHeight w:val="72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ind w:firstLine="22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highlight w:val="white"/>
              </w:rPr>
              <w:t xml:space="preserve">Итого:</w:t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0" w:type="dxa"/>
            <w:vAlign w:val="bottom"/>
            <w:textDirection w:val="lrTb"/>
            <w:noWrap w:val="false"/>
          </w:tcPr>
          <w:p>
            <w:pPr>
              <w:ind w:firstLine="22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1" w:type="dxa"/>
            <w:vAlign w:val="bottom"/>
            <w:textDirection w:val="lrTb"/>
            <w:noWrap w:val="false"/>
          </w:tcPr>
          <w:p>
            <w:pPr>
              <w:ind w:firstLine="22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5" w:type="dxa"/>
            <w:vAlign w:val="bottom"/>
            <w:textDirection w:val="lrTb"/>
            <w:noWrap w:val="false"/>
          </w:tcPr>
          <w:p>
            <w:pPr>
              <w:ind w:firstLine="22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highlight w:val="white"/>
              </w:rPr>
              <w:t xml:space="preserve">25 983 520,00</w:t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ind w:firstLine="22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</w:tbl>
    <w:p>
      <w:pPr>
        <w:ind w:firstLine="851"/>
        <w:jc w:val="both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Работы по разделу обслуживание участников взаимодействия в рамках территориальной информационной системы Новосибирской области, в части обеспечения компьютерной, 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организационной техникой, комплектующими и расходными материалами, программным обеспечением выполнены в полном объеме.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207"/>
        <w:ind w:left="0" w:right="0" w:firstLine="850"/>
        <w:jc w:val="left"/>
        <w:spacing w:before="0" w:after="0"/>
        <w:widowControl/>
        <w:rPr>
          <w:rFonts w:ascii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Раздел 19. </w:t>
      </w:r>
      <w:r>
        <w:rPr>
          <w:rFonts w:ascii="Times New Roman" w:hAnsi="Times New Roman" w:eastAsia="Times New Roman"/>
          <w:b/>
          <w:bCs/>
          <w:spacing w:val="-2"/>
          <w:sz w:val="24"/>
          <w:szCs w:val="24"/>
          <w:highlight w:val="white"/>
          <w:u w:val="none"/>
          <w:lang w:val="ru-RU" w:eastAsia="ru-RU" w:bidi="ar-SA"/>
        </w:rPr>
        <w:t xml:space="preserve">Обеспечение функционирования, развития и модернизации государственной информационной системы «Система обеспечения вызова экстренных оперативных служб по единому номеру «112» на территории Новосибирской области» в части обеспечения эксплуатации Системы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  <w:u w:val="none"/>
        </w:rPr>
      </w:r>
      <w:r>
        <w:rPr>
          <w:rFonts w:ascii="Times New Roman" w:hAnsi="Times New Roman" w:cs="Times New Roman"/>
          <w:sz w:val="24"/>
          <w:szCs w:val="24"/>
          <w:highlight w:val="white"/>
          <w:u w:val="singl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highlight w:val="white"/>
        </w:rPr>
      </w:r>
      <w:r>
        <w:rPr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i/>
          <w:sz w:val="24"/>
          <w:highlight w:val="white"/>
        </w:rPr>
        <w:t xml:space="preserve">Ввод в эксплуатацию нового и замена неисправного оборудования системы. Устранение неисправностей на оборудовании системы. Приобретение оборудования и комплектующих для обеспечения бесперебойного функционирования системы.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color w:val="00000a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За отчетный период проведены следующие работы:</w:t>
      </w:r>
      <w:r>
        <w:rPr>
          <w:rFonts w:ascii="Times New Roman" w:hAnsi="Times New Roman" w:cs="Times New Roman"/>
          <w:color w:val="00000a"/>
          <w:sz w:val="24"/>
          <w:highlight w:val="white"/>
        </w:rPr>
      </w:r>
      <w:r>
        <w:rPr>
          <w:rFonts w:ascii="Times New Roman" w:hAnsi="Times New Roman" w:cs="Times New Roman"/>
          <w:color w:val="00000a"/>
          <w:sz w:val="24"/>
          <w:highlight w:val="white"/>
        </w:rPr>
      </w:r>
    </w:p>
    <w:p>
      <w:pPr>
        <w:pStyle w:val="1179"/>
        <w:numPr>
          <w:ilvl w:val="0"/>
          <w:numId w:val="6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color w:val="00000a"/>
          <w:sz w:val="24"/>
          <w:highlight w:val="white"/>
        </w:rPr>
      </w:pPr>
      <w:r>
        <w:rPr>
          <w:rFonts w:ascii="Times New Roman" w:hAnsi="Times New Roman" w:eastAsia="Times New Roman" w:cs="Times New Roman"/>
          <w:color w:val="00000a"/>
          <w:sz w:val="24"/>
          <w:highlight w:val="white"/>
        </w:rPr>
        <w:t xml:space="preserve">Эксплуатация и техническое обслуживание АРМ операторов ЕДДС 112 и ДДС 03 Системы 112 НСО (104 шт.).</w:t>
      </w:r>
      <w:r>
        <w:rPr>
          <w:rFonts w:ascii="Times New Roman" w:hAnsi="Times New Roman" w:cs="Times New Roman"/>
          <w:color w:val="00000a"/>
          <w:sz w:val="24"/>
          <w:highlight w:val="white"/>
        </w:rPr>
      </w:r>
      <w:r>
        <w:rPr>
          <w:rFonts w:ascii="Times New Roman" w:hAnsi="Times New Roman" w:cs="Times New Roman"/>
          <w:color w:val="00000a"/>
          <w:sz w:val="24"/>
          <w:highlight w:val="white"/>
        </w:rPr>
      </w:r>
    </w:p>
    <w:p>
      <w:pPr>
        <w:pStyle w:val="1179"/>
        <w:numPr>
          <w:ilvl w:val="0"/>
          <w:numId w:val="6"/>
        </w:numPr>
        <w:ind w:left="0" w:firstLine="851"/>
        <w:jc w:val="both"/>
        <w:spacing w:after="200" w:line="276" w:lineRule="auto"/>
        <w:tabs>
          <w:tab w:val="num" w:pos="0" w:leader="none"/>
          <w:tab w:val="clear" w:pos="1418" w:leader="none"/>
        </w:tabs>
        <w:rPr>
          <w:rFonts w:ascii="Times New Roman" w:hAnsi="Times New Roman" w:cs="Times New Roman"/>
          <w:color w:val="00000a"/>
          <w:sz w:val="24"/>
          <w:highlight w:val="white"/>
        </w:rPr>
      </w:pPr>
      <w:r>
        <w:rPr>
          <w:rFonts w:ascii="Times New Roman" w:hAnsi="Times New Roman" w:eastAsia="Times New Roman" w:cs="Times New Roman"/>
          <w:color w:val="00000a"/>
          <w:sz w:val="24"/>
          <w:highlight w:val="white"/>
        </w:rPr>
        <w:t xml:space="preserve">Выполнение работ по замене неисправного системного блока автоматизированного рабочего места </w:t>
      </w:r>
      <w:r>
        <w:rPr>
          <w:rFonts w:ascii="Times New Roman" w:hAnsi="Times New Roman" w:eastAsia="Times New Roman" w:cs="Times New Roman"/>
          <w:color w:val="00000a"/>
          <w:sz w:val="24"/>
          <w:highlight w:val="white"/>
        </w:rPr>
        <w:t xml:space="preserve">и замены комплектующих (клавиатуры, мыши, ИБП, мониторы, гарнитуры) операторов ДДС </w:t>
      </w:r>
      <w:r>
        <w:rPr>
          <w:rFonts w:ascii="Times New Roman" w:hAnsi="Times New Roman" w:eastAsia="Times New Roman" w:cs="Times New Roman"/>
          <w:color w:val="00000a"/>
          <w:sz w:val="24"/>
          <w:highlight w:val="white"/>
        </w:rPr>
        <w:t xml:space="preserve">(</w:t>
      </w:r>
      <w:r>
        <w:rPr>
          <w:rFonts w:ascii="Times New Roman" w:hAnsi="Times New Roman" w:eastAsia="Times New Roman" w:cs="Times New Roman"/>
          <w:color w:val="00000a"/>
          <w:sz w:val="24"/>
          <w:highlight w:val="white"/>
        </w:rPr>
        <w:t xml:space="preserve">12</w:t>
      </w:r>
      <w:r>
        <w:rPr>
          <w:rFonts w:ascii="Times New Roman" w:hAnsi="Times New Roman" w:eastAsia="Times New Roman" w:cs="Times New Roman"/>
          <w:color w:val="00000a"/>
          <w:sz w:val="24"/>
          <w:highlight w:val="white"/>
        </w:rPr>
        <w:t xml:space="preserve"> шт.).</w:t>
      </w:r>
      <w:r>
        <w:rPr>
          <w:rFonts w:ascii="Times New Roman" w:hAnsi="Times New Roman" w:cs="Times New Roman"/>
          <w:color w:val="00000a"/>
          <w:sz w:val="24"/>
          <w:highlight w:val="white"/>
        </w:rPr>
      </w:r>
      <w:r>
        <w:rPr>
          <w:rFonts w:ascii="Times New Roman" w:hAnsi="Times New Roman" w:cs="Times New Roman"/>
          <w:color w:val="00000a"/>
          <w:sz w:val="24"/>
          <w:highlight w:val="white"/>
        </w:rPr>
      </w:r>
    </w:p>
    <w:p>
      <w:pPr>
        <w:pStyle w:val="1179"/>
        <w:numPr>
          <w:ilvl w:val="0"/>
          <w:numId w:val="6"/>
        </w:numPr>
        <w:ind w:left="0" w:firstLine="851"/>
        <w:jc w:val="both"/>
        <w:spacing w:after="200" w:line="276" w:lineRule="auto"/>
        <w:tabs>
          <w:tab w:val="num" w:pos="0" w:leader="none"/>
          <w:tab w:val="clear" w:pos="1418" w:leader="none"/>
        </w:tabs>
        <w:rPr>
          <w:rFonts w:ascii="Times New Roman" w:hAnsi="Times New Roman" w:cs="Times New Roman"/>
          <w:color w:val="00000a"/>
          <w:sz w:val="24"/>
          <w:highlight w:val="white"/>
        </w:rPr>
      </w:pPr>
      <w:r>
        <w:rPr>
          <w:rFonts w:ascii="Times New Roman" w:hAnsi="Times New Roman" w:eastAsia="Times New Roman" w:cs="Times New Roman"/>
          <w:color w:val="00000a"/>
          <w:sz w:val="24"/>
          <w:highlight w:val="white"/>
        </w:rPr>
        <w:t xml:space="preserve">У</w:t>
      </w:r>
      <w:r>
        <w:rPr>
          <w:rFonts w:ascii="Times New Roman" w:hAnsi="Times New Roman" w:eastAsia="Times New Roman" w:cs="Times New Roman"/>
          <w:color w:val="00000a"/>
          <w:sz w:val="24"/>
          <w:highlight w:val="white"/>
        </w:rPr>
        <w:t xml:space="preserve">становка </w:t>
      </w:r>
      <w:r>
        <w:rPr>
          <w:rFonts w:ascii="Times New Roman" w:hAnsi="Times New Roman" w:eastAsia="Times New Roman" w:cs="Times New Roman"/>
          <w:color w:val="00000a"/>
          <w:sz w:val="24"/>
          <w:highlight w:val="white"/>
        </w:rPr>
        <w:t xml:space="preserve">новых</w:t>
      </w:r>
      <w:r>
        <w:rPr>
          <w:rFonts w:ascii="Times New Roman" w:hAnsi="Times New Roman" w:eastAsia="Times New Roman" w:cs="Times New Roman"/>
          <w:color w:val="00000a"/>
          <w:sz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a"/>
          <w:sz w:val="24"/>
          <w:highlight w:val="white"/>
        </w:rPr>
        <w:t xml:space="preserve">автоматизированных рабочих мест (</w:t>
      </w:r>
      <w:r>
        <w:rPr>
          <w:rFonts w:ascii="Times New Roman" w:hAnsi="Times New Roman" w:eastAsia="Times New Roman" w:cs="Times New Roman"/>
          <w:color w:val="00000a"/>
          <w:sz w:val="24"/>
          <w:highlight w:val="white"/>
        </w:rPr>
        <w:t xml:space="preserve">2</w:t>
      </w:r>
      <w:r>
        <w:rPr>
          <w:rFonts w:ascii="Times New Roman" w:hAnsi="Times New Roman" w:eastAsia="Times New Roman" w:cs="Times New Roman"/>
          <w:color w:val="00000a"/>
          <w:sz w:val="24"/>
          <w:highlight w:val="white"/>
        </w:rPr>
        <w:t xml:space="preserve"> шт.)</w:t>
      </w:r>
      <w:r>
        <w:rPr>
          <w:rFonts w:ascii="Times New Roman" w:hAnsi="Times New Roman" w:eastAsia="Times New Roman" w:cs="Times New Roman"/>
          <w:color w:val="00000a"/>
          <w:sz w:val="24"/>
          <w:highlight w:val="white"/>
        </w:rPr>
        <w:t xml:space="preserve"> и </w:t>
      </w:r>
      <w:r>
        <w:rPr>
          <w:rFonts w:ascii="Times New Roman" w:hAnsi="Times New Roman" w:eastAsia="Times New Roman" w:cs="Times New Roman"/>
          <w:color w:val="00000a"/>
          <w:sz w:val="24"/>
          <w:highlight w:val="white"/>
        </w:rPr>
        <w:t xml:space="preserve">комплектующих</w:t>
      </w:r>
      <w:r>
        <w:rPr>
          <w:rFonts w:ascii="Times New Roman" w:hAnsi="Times New Roman" w:eastAsia="Times New Roman" w:cs="Times New Roman"/>
          <w:color w:val="00000a"/>
          <w:sz w:val="24"/>
          <w:highlight w:val="white"/>
        </w:rPr>
        <w:t xml:space="preserve"> к компьютерной технике</w:t>
      </w:r>
      <w:r>
        <w:rPr>
          <w:rFonts w:ascii="Times New Roman" w:hAnsi="Times New Roman" w:eastAsia="Times New Roman" w:cs="Times New Roman"/>
          <w:color w:val="00000a"/>
          <w:sz w:val="24"/>
          <w:highlight w:val="white"/>
        </w:rPr>
        <w:t xml:space="preserve"> (6 шт.)</w:t>
      </w:r>
      <w:r>
        <w:rPr>
          <w:rFonts w:ascii="Times New Roman" w:hAnsi="Times New Roman" w:eastAsia="Times New Roman" w:cs="Times New Roman"/>
          <w:color w:val="00000a"/>
          <w:sz w:val="24"/>
          <w:highlight w:val="white"/>
        </w:rPr>
        <w:t xml:space="preserve"> операторов единой дежурной диспетчерской службы.</w:t>
      </w:r>
      <w:r>
        <w:rPr>
          <w:rFonts w:ascii="Times New Roman" w:hAnsi="Times New Roman" w:cs="Times New Roman"/>
          <w:color w:val="00000a"/>
          <w:sz w:val="24"/>
          <w:highlight w:val="white"/>
        </w:rPr>
      </w:r>
      <w:r>
        <w:rPr>
          <w:rFonts w:ascii="Times New Roman" w:hAnsi="Times New Roman" w:cs="Times New Roman"/>
          <w:color w:val="00000a"/>
          <w:sz w:val="24"/>
          <w:highlight w:val="white"/>
        </w:rPr>
      </w:r>
    </w:p>
    <w:p>
      <w:pPr>
        <w:pStyle w:val="1207"/>
        <w:jc w:val="left"/>
        <w:spacing w:before="0" w:after="0"/>
        <w:widowControl/>
        <w:rPr>
          <w:rFonts w:ascii="Times New Roman" w:hAnsi="Times New Roman" w:cs="Times New Roman"/>
          <w:highlight w:val="white"/>
          <w:u w:val="singl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  <w:t xml:space="preserve">Работы по разделу </w:t>
      </w:r>
      <w:r>
        <w:rPr>
          <w:rFonts w:ascii="Times New Roman" w:hAnsi="Times New Roman" w:eastAsia="Times New Roman"/>
          <w:spacing w:val="-2"/>
          <w:sz w:val="24"/>
          <w:szCs w:val="24"/>
          <w:highlight w:val="white"/>
          <w:u w:val="none"/>
          <w:lang w:val="ru-RU" w:eastAsia="ru-RU" w:bidi="ar-SA"/>
        </w:rPr>
        <w:t xml:space="preserve">Обеспечение функционирования, развития и модернизации государственной информационной системы «Система обеспечения вызова экстренных оперативных служб по единому номеру «112» на территории Новосибирской области» в части обеспечения эксплуатации Системы</w:t>
      </w:r>
      <w:r>
        <w:rPr>
          <w:rFonts w:ascii="Times New Roman" w:hAnsi="Times New Roman" w:eastAsia="Times New Roman" w:cs="Times New Roman"/>
          <w:sz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выполнены в полном объеме</w:t>
      </w:r>
      <w:r/>
      <w:r>
        <w:rPr>
          <w:rFonts w:ascii="Times New Roman" w:hAnsi="Times New Roman" w:eastAsia="Times New Roman" w:cs="Times New Roman"/>
          <w:sz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  <w:u w:val="none"/>
        </w:rPr>
      </w:r>
      <w:r>
        <w:rPr>
          <w:rFonts w:ascii="Times New Roman" w:hAnsi="Times New Roman" w:cs="Times New Roman"/>
          <w:highlight w:val="white"/>
          <w:u w:val="single"/>
        </w:rPr>
      </w:r>
    </w:p>
    <w:p>
      <w:pPr>
        <w:pStyle w:val="1179"/>
        <w:ind w:left="0" w:firstLine="851"/>
        <w:jc w:val="both"/>
        <w:spacing w:after="0" w:line="240" w:lineRule="auto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1179"/>
        <w:ind w:left="0" w:firstLine="851"/>
        <w:jc w:val="both"/>
        <w:spacing w:after="0" w:line="240" w:lineRule="auto"/>
        <w:rPr>
          <w:rFonts w:ascii="Times New Roman" w:hAnsi="Times New Roman" w:cs="Times New Roman"/>
          <w:b/>
          <w:sz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highlight w:val="white"/>
        </w:rPr>
        <w:t xml:space="preserve">Раздел 20. Сопровождение и эксплуатация информационных систем</w:t>
      </w:r>
      <w:r>
        <w:rPr>
          <w:rFonts w:ascii="Times New Roman" w:hAnsi="Times New Roman" w:cs="Times New Roman"/>
          <w:b/>
          <w:sz w:val="24"/>
          <w:highlight w:val="white"/>
        </w:rPr>
      </w:r>
      <w:r>
        <w:rPr>
          <w:rFonts w:ascii="Times New Roman" w:hAnsi="Times New Roman" w:cs="Times New Roman"/>
          <w:b/>
          <w:sz w:val="24"/>
          <w:highlight w:val="white"/>
        </w:rPr>
      </w:r>
    </w:p>
    <w:p>
      <w:pPr>
        <w:ind w:firstLine="851"/>
        <w:spacing w:after="0"/>
        <w:tabs>
          <w:tab w:val="left" w:pos="1320" w:leader="none"/>
        </w:tabs>
        <w:rPr>
          <w:rFonts w:ascii="Times New Roman" w:hAnsi="Times New Roman" w:cs="Times New Roman"/>
          <w:i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</w:rPr>
        <w:t xml:space="preserve">Техническая поддержка информационных систем.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i/>
          <w:sz w:val="24"/>
          <w:szCs w:val="24"/>
          <w:highlight w:val="white"/>
        </w:rPr>
      </w:r>
    </w:p>
    <w:p>
      <w:pPr>
        <w:ind w:firstLine="851"/>
        <w:jc w:val="both"/>
        <w:spacing w:after="0"/>
        <w:tabs>
          <w:tab w:val="left" w:pos="1320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 рамках технического сопровождения и эксплуатации государственной информационной системы «Система электронного документооборота и делопроизводства Правительства Новосибирской области» заключен контракт № 0851200000625008970 на</w:t>
      </w:r>
      <w:r>
        <w:rPr>
          <w:rFonts w:ascii="Times New Roman" w:hAnsi="Times New Roman" w:eastAsia="Times New Roman" w:cs="Times New Roman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оказание услуг по техническому сопровождению государственной информационной системы «Система электронного документооборота и делопроизводства Правительства Новосибирской области».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left="0" w:right="0" w:firstLine="850"/>
        <w:jc w:val="both"/>
        <w:spacing w:after="0"/>
        <w:tabs>
          <w:tab w:val="left" w:pos="132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 рамках технического сопровождения и эксплуатации государственной информационной системы «Система электронного документооборота и делопроизводства Правительства Новосибирской области» были выполнены следующие работы: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1179"/>
        <w:numPr>
          <w:ilvl w:val="0"/>
          <w:numId w:val="88"/>
        </w:numPr>
        <w:ind w:left="0" w:right="0" w:firstLine="850"/>
        <w:jc w:val="both"/>
        <w:spacing w:after="0"/>
        <w:tabs>
          <w:tab w:val="left" w:pos="132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ab/>
        <w:t xml:space="preserve">организации комплекса мер, гарантирующих устранение причин и последствий нештатной работы системы электронного документооборота и делопроизводства Правительства Новосибирской области;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1179"/>
        <w:numPr>
          <w:ilvl w:val="0"/>
          <w:numId w:val="88"/>
        </w:numPr>
        <w:ind w:left="0" w:right="0" w:firstLine="850"/>
        <w:jc w:val="both"/>
        <w:spacing w:after="0"/>
        <w:tabs>
          <w:tab w:val="left" w:pos="132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ab/>
        <w:t xml:space="preserve">организации комплекса мер, обеспечивающих устранение выявленных недостатков во время нештатной работы системы электронного документооборота и делопроизводства Правительства Новосибирской области;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1179"/>
        <w:numPr>
          <w:ilvl w:val="0"/>
          <w:numId w:val="88"/>
        </w:numPr>
        <w:ind w:left="0" w:right="0" w:firstLine="850"/>
        <w:jc w:val="both"/>
        <w:spacing w:after="0"/>
        <w:tabs>
          <w:tab w:val="left" w:pos="132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ab/>
        <w:t xml:space="preserve">предоставлению ответов на вопросы, связанных с настройкой и функционированием системы электронного документооборота и делопроизводства Правительства Новосибирской области;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1179"/>
        <w:numPr>
          <w:ilvl w:val="0"/>
          <w:numId w:val="88"/>
        </w:numPr>
        <w:ind w:left="0" w:right="0" w:firstLine="850"/>
        <w:jc w:val="both"/>
        <w:spacing w:after="0"/>
        <w:tabs>
          <w:tab w:val="left" w:pos="132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ab/>
        <w:t xml:space="preserve">обеспечению поддержки работоспособности системы электронного документооборота и делопроизводства Правительства Новосибирской области на территории Новосибирской области;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1179"/>
        <w:numPr>
          <w:ilvl w:val="0"/>
          <w:numId w:val="88"/>
        </w:numPr>
        <w:ind w:left="0" w:right="0" w:firstLine="850"/>
        <w:jc w:val="both"/>
        <w:spacing w:after="0"/>
        <w:tabs>
          <w:tab w:val="left" w:pos="132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ab/>
        <w:t xml:space="preserve">обеспечению корректной работы путем своевременного приведения в соответствие системы электронного документооборота и делопроизводства Правительства Новосибирской области действующим на момент оказания данных услуг требованиям региональных и/или федеральны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х нормативных правовых актов;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1179"/>
        <w:numPr>
          <w:ilvl w:val="0"/>
          <w:numId w:val="88"/>
        </w:numPr>
        <w:ind w:left="0" w:right="0" w:firstLine="850"/>
        <w:jc w:val="both"/>
        <w:spacing w:after="0"/>
        <w:tabs>
          <w:tab w:val="left" w:pos="1320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ab/>
        <w:t xml:space="preserve">обеспечению превентивного реагирования на возможное возникновение нештатных ситуаций в работе системы электронного документооборота и делопроизводства Правительства Новосибирской области путем своевременного проведения операций по обновлению системы и кор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ректировки программного кода системы.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spacing w:after="0"/>
        <w:tabs>
          <w:tab w:val="left" w:pos="1320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Работы по разделу сопровождение и эксплуатация информационных систем выполнены в полном объеме.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jc w:val="left"/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851"/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Раздел 21. Обеспечение функционирования и развития программно-аппаратного комплекса «Система видеонаблюдения и видеоаналитики Новосибирской области»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i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</w:rPr>
        <w:t xml:space="preserve">Об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</w:rPr>
        <w:t xml:space="preserve">еспечение функционирования, развития, эксплуатации, расширения, техническое администрирование и техническая поддержка программно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</w:rPr>
        <w:t xml:space="preserve">-аппаратного комплекса «Система видеонаблюдения и видеоаналитики Новосибирской области».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i/>
          <w:sz w:val="24"/>
          <w:szCs w:val="24"/>
          <w:highlight w:val="white"/>
        </w:rPr>
      </w:r>
    </w:p>
    <w:p>
      <w:pPr>
        <w:ind w:firstLine="851"/>
        <w:spacing w:after="0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Во 2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квартале 202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года проведены следующие мероприятия: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1.</w:t>
        <w:tab/>
        <w:t xml:space="preserve">За отчетный период осуществлена техническая поддержка пользователей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программно-аппаратного комплекса «Система видеонаблюдения и видеоаналитики Новосибирской области» (далее -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ПАК СВНВА НСО). Принято 19 обращений пользователей Системы. Создано 14 заявок в системе обработки заявок.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2.</w:t>
        <w:tab/>
        <w:t xml:space="preserve">Предоставлен доступ в ПАК СВНВА НСО и настроены права доступа для 66 новых пользователей, изменили права доступа 4 сотрудникам и 4 учетные записи заблокированы. 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3.</w:t>
        <w:tab/>
        <w:t xml:space="preserve">В рамках обеспечения бесперебойного функционирования ПАК СВНВА НСО были проведены 2 работы по установке и изменению настроек общесистемного или прикладного ПО, а также выявлено и устранено 24 сбоя в работе сервисов ПАК СВНВА НСО.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  <w:tab/>
        <w:t xml:space="preserve">За отчетный период была выполнена техническая экспертиза 182 возможных мест установки средств видеонаблюдения и видеоаналитики объектов, находящихся в Новосибирской области и входящих в приоритетный перечень объектов опеределенных ГУ МВД РФ по Новосибирс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кой области.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5.</w:t>
        <w:tab/>
        <w:t xml:space="preserve">В рамках тестирования новых сервисов с целью рассмотрения их применения в ПАК СВНВА НСО были проведены тестирования: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1179"/>
        <w:numPr>
          <w:ilvl w:val="0"/>
          <w:numId w:val="39"/>
        </w:numPr>
        <w:ind w:left="0" w:right="0" w:firstLine="850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аналитики 2в1 НтехЛаб;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1179"/>
        <w:numPr>
          <w:ilvl w:val="0"/>
          <w:numId w:val="39"/>
        </w:numPr>
        <w:ind w:left="0" w:right="0" w:firstLine="850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новая нейросеть для аналитики по лицам Vizir.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6.</w:t>
        <w:tab/>
        <w:t xml:space="preserve">Проводятся работы в рамках исполнения 3 и 4 этапов государственного контракта от 24.03.2026 № 0851200000626001259 на оказание услуг по расширению ПАК СВНВА НСО. Работы по 1 и 2 этапам приняты и оплачены.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7.</w:t>
        <w:tab/>
        <w:t xml:space="preserve"> Организованы работы по передаче 145 видеопотоков в ПАК СВНВА НСО.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8.</w:t>
        <w:tab/>
        <w:t xml:space="preserve">Обеспечено техническое сопровождение работы ПАК СВНВА НСО общей емкостью 3000 камер.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9.</w:t>
        <w:tab/>
        <w:t xml:space="preserve">Обеспечена работоспособности средств видеонаблюдения, путем выявления и устранения 969 сбоев в работе камер ПАК СВНВА НСО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851"/>
        <w:jc w:val="both"/>
        <w:spacing w:after="0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Работы по разделу обеспечения функционирования и развития программно-аппаратного комплекса «Система видеонаблюдения и видеоаналитики Новосибирской области» выполнены в полном объеме.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Принятые меры позволили существенно повысить уровень антитеррористической защищенности критически важных объектов области и обеспечить надежное функционирование системы видеонаблюдения выполнены в полном объеме.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707" w:bottom="1134" w:left="1134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SimSun">
    <w:panose1 w:val="02000506000000020000"/>
  </w:font>
  <w:font w:name="Liberation Serif">
    <w:panose1 w:val="02020603050405020304"/>
  </w:font>
  <w:font w:name="Calibri">
    <w:panose1 w:val="020F0502020204030204"/>
  </w:font>
  <w:font w:name="Times New Roman">
    <w:panose1 w:val="02020603050405020304"/>
  </w:font>
  <w:font w:name="Microsoft YaHei">
    <w:panose1 w:val="020B0503020203020204"/>
  </w:font>
  <w:font w:name="Courier New">
    <w:panose1 w:val="02070309020205020404"/>
  </w:font>
  <w:font w:name="Mangal">
    <w:panose1 w:val="02040503050406030204"/>
  </w:font>
  <w:font w:name="Wingdings">
    <w:panose1 w:val="05010000000000000000"/>
  </w:font>
  <w:font w:name="Liberation Sans">
    <w:panose1 w:val="020B0604020202020204"/>
  </w:font>
  <w:font w:name="Segoe UI">
    <w:panose1 w:val="020B0502040504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  <w:p>
    <w:pPr>
      <w:pStyle w:val="119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57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48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0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2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4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6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8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0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2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45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57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7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919" w:hanging="360"/>
        <w:tabs>
          <w:tab w:val="num" w:pos="49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3" w:hanging="360"/>
        <w:tabs>
          <w:tab w:val="num" w:pos="424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3" w:hanging="360"/>
        <w:tabs>
          <w:tab w:val="num" w:pos="424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3" w:hanging="360"/>
        <w:tabs>
          <w:tab w:val="num" w:pos="424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3" w:hanging="360"/>
        <w:tabs>
          <w:tab w:val="num" w:pos="424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3" w:hanging="360"/>
        <w:tabs>
          <w:tab w:val="num" w:pos="424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3" w:hanging="360"/>
        <w:tabs>
          <w:tab w:val="num" w:pos="424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3" w:hanging="360"/>
        <w:tabs>
          <w:tab w:val="num" w:pos="424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3" w:hanging="360"/>
        <w:tabs>
          <w:tab w:val="num" w:pos="424" w:leader="none"/>
        </w:tabs>
      </w:pPr>
      <w:rPr>
        <w:rFonts w:hint="default" w:ascii="Wingdings" w:hAnsi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928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778" w:hanging="360"/>
        <w:tabs>
          <w:tab w:val="num" w:pos="349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287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22" w:hanging="360"/>
        <w:tabs>
          <w:tab w:val="num" w:pos="-56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  <w:tabs>
          <w:tab w:val="num" w:pos="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57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211" w:hanging="360"/>
        <w:tabs>
          <w:tab w:val="num" w:pos="283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243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53" w:hanging="360"/>
        <w:tabs>
          <w:tab w:val="num" w:pos="207" w:leader="none"/>
        </w:tabs>
      </w:pPr>
    </w:lvl>
    <w:lvl w:ilvl="1">
      <w:start w:val="7"/>
      <w:numFmt w:val="bullet"/>
      <w:isLgl w:val="false"/>
      <w:suff w:val="tab"/>
      <w:lvlText w:val="·"/>
      <w:lvlJc w:val="left"/>
      <w:pPr>
        <w:ind w:left="1866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37" w:hanging="360"/>
        <w:tabs>
          <w:tab w:val="num" w:pos="56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640" w:hanging="360"/>
        <w:tabs>
          <w:tab w:val="num" w:pos="85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3360" w:hanging="180"/>
        <w:tabs>
          <w:tab w:val="num" w:pos="85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4080" w:hanging="360"/>
        <w:tabs>
          <w:tab w:val="num" w:pos="85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800" w:hanging="360"/>
        <w:tabs>
          <w:tab w:val="num" w:pos="85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520" w:hanging="180"/>
        <w:tabs>
          <w:tab w:val="num" w:pos="85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6240" w:hanging="360"/>
        <w:tabs>
          <w:tab w:val="num" w:pos="85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960" w:hanging="360"/>
        <w:tabs>
          <w:tab w:val="num" w:pos="85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680" w:hanging="180"/>
        <w:tabs>
          <w:tab w:val="num" w:pos="851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571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0" w:firstLine="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57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2291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3011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731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451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5171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891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611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331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051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57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57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71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637" w:hanging="360"/>
        <w:tabs>
          <w:tab w:val="num" w:pos="66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931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31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91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291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651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51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11" w:hanging="1800"/>
        <w:tabs>
          <w:tab w:val="num" w:pos="0" w:leader="none"/>
        </w:tabs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firstLine="0"/>
        <w:tabs>
          <w:tab w:val="num" w:pos="1418" w:leader="none"/>
        </w:tabs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71" w:hanging="360"/>
        <w:tabs>
          <w:tab w:val="num" w:pos="0" w:leader="none"/>
        </w:tabs>
      </w:pPr>
    </w:lvl>
    <w:lvl w:ilvl="1">
      <w:start w:val="5"/>
      <w:numFmt w:val="decimal"/>
      <w:isLgl w:val="false"/>
      <w:suff w:val="tab"/>
      <w:lvlText w:val="%1.%2."/>
      <w:lvlJc w:val="left"/>
      <w:pPr>
        <w:ind w:left="1571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931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31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91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291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651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51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11" w:hanging="1800"/>
        <w:tabs>
          <w:tab w:val="num" w:pos="0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  <w:tabs>
          <w:tab w:val="num" w:pos="0" w:leader="none"/>
        </w:tabs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495" w:hanging="360"/>
        <w:tabs>
          <w:tab w:val="num" w:pos="775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57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57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571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53" w:hanging="360"/>
        <w:tabs>
          <w:tab w:val="num" w:pos="284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073" w:hanging="360"/>
        <w:tabs>
          <w:tab w:val="num" w:pos="28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93" w:hanging="180"/>
        <w:tabs>
          <w:tab w:val="num" w:pos="284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13" w:hanging="360"/>
        <w:tabs>
          <w:tab w:val="num" w:pos="284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233" w:hanging="360"/>
        <w:tabs>
          <w:tab w:val="num" w:pos="284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953" w:hanging="180"/>
        <w:tabs>
          <w:tab w:val="num" w:pos="284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673" w:hanging="360"/>
        <w:tabs>
          <w:tab w:val="num" w:pos="284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93" w:hanging="360"/>
        <w:tabs>
          <w:tab w:val="num" w:pos="284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13" w:hanging="180"/>
        <w:tabs>
          <w:tab w:val="num" w:pos="284" w:leader="none"/>
        </w:tabs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57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0" w:firstLine="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95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196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  <w:tabs>
          <w:tab w:val="num" w:pos="0" w:leader="none"/>
        </w:tabs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57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28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00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72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4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16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88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0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32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20" w:hanging="180"/>
      </w:p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1a1a1a"/>
        <w:sz w:val="21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1a1a1a"/>
        <w:sz w:val="21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1a1a1a"/>
        <w:sz w:val="21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1a1a1a"/>
        <w:sz w:val="21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1a1a1a"/>
        <w:sz w:val="21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1a1a1a"/>
        <w:sz w:val="21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1a1a1a"/>
        <w:sz w:val="21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1a1a1a"/>
        <w:sz w:val="21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1a1a1a"/>
        <w:sz w:val="21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28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00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72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4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16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88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0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320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28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00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72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4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16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88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0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320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53" w:hanging="360"/>
        <w:tabs>
          <w:tab w:val="num" w:pos="284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073" w:hanging="360"/>
        <w:tabs>
          <w:tab w:val="num" w:pos="28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93" w:hanging="180"/>
        <w:tabs>
          <w:tab w:val="num" w:pos="284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13" w:hanging="360"/>
        <w:tabs>
          <w:tab w:val="num" w:pos="284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233" w:hanging="360"/>
        <w:tabs>
          <w:tab w:val="num" w:pos="284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953" w:hanging="180"/>
        <w:tabs>
          <w:tab w:val="num" w:pos="284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673" w:hanging="360"/>
        <w:tabs>
          <w:tab w:val="num" w:pos="284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93" w:hanging="360"/>
        <w:tabs>
          <w:tab w:val="num" w:pos="284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13" w:hanging="180"/>
        <w:tabs>
          <w:tab w:val="num" w:pos="284" w:leader="none"/>
        </w:tabs>
      </w:pPr>
    </w:lvl>
  </w:abstractNum>
  <w:abstractNum w:abstractNumId="8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28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00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72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4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16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88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0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320" w:hanging="360"/>
      </w:pPr>
      <w:rPr>
        <w:rFonts w:hint="default" w:ascii="Wingdings" w:hAnsi="Wingdings" w:eastAsia="Wingdings" w:cs="Wingdings"/>
      </w:rPr>
    </w:lvl>
  </w:abstractNum>
  <w:abstractNum w:abstractNumId="8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5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7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99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1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3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5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7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59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19" w:hanging="180"/>
      </w:pPr>
    </w:lvl>
  </w:abstractNum>
  <w:abstractNum w:abstractNumId="10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46" w:hanging="360"/>
      </w:pPr>
      <w:rPr>
        <w:rFonts w:hint="default" w:ascii="Times New Roman" w:hAnsi="Times New Roman" w:cs="Times New Roman" w:eastAsiaTheme="minorHAnsi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10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8" w:hanging="360"/>
      </w:pPr>
      <w:rPr>
        <w:rFonts w:hint="default" w:ascii="Times New Roman" w:hAnsi="Times New Roman" w:cs="Times New Roman" w:eastAsiaTheme="minorHAnsi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0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28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00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72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4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16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88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0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320" w:hanging="360"/>
      </w:pPr>
      <w:rPr>
        <w:rFonts w:hint="default" w:ascii="Wingdings" w:hAnsi="Wingdings" w:eastAsia="Wingdings" w:cs="Wingdings"/>
      </w:rPr>
    </w:lvl>
  </w:abstractNum>
  <w:abstractNum w:abstractNumId="10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268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298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70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42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514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86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58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30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8028" w:hanging="360"/>
      </w:pPr>
      <w:rPr>
        <w:rFonts w:hint="default" w:ascii="Wingdings" w:hAnsi="Wingdings" w:eastAsia="Wingdings" w:cs="Wingdings"/>
      </w:rPr>
    </w:lvl>
  </w:abstractNum>
  <w:abstractNum w:abstractNumId="10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29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01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73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45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17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489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61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338" w:hanging="360"/>
      </w:pPr>
      <w:rPr>
        <w:rFonts w:hint="default" w:ascii="Wingdings" w:hAnsi="Wingdings" w:eastAsia="Wingdings" w:cs="Wingdings"/>
      </w:rPr>
    </w:lvl>
  </w:abstractNum>
  <w:abstractNum w:abstractNumId="10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8" w:hanging="360"/>
      </w:pPr>
      <w:rPr>
        <w:rFonts w:hint="default" w:ascii="Times New Roman" w:hAnsi="Times New Roman" w:cs="Times New Roman" w:eastAsiaTheme="minorHAnsi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1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46" w:hanging="360"/>
      </w:pPr>
      <w:rPr>
        <w:rFonts w:hint="default" w:ascii="Times New Roman" w:hAnsi="Times New Roman" w:cs="Times New Roman" w:eastAsiaTheme="minorHAnsi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1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87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9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31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3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5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7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9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917" w:hanging="360"/>
      </w:pPr>
      <w:rPr>
        <w:rFonts w:hint="default" w:ascii="Wingdings" w:hAnsi="Wingdings" w:eastAsia="Wingdings" w:cs="Wingdings"/>
      </w:rPr>
    </w:lvl>
  </w:abstractNum>
  <w:abstractNum w:abstractNumId="1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5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7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125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845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565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285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05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725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445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65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885" w:hanging="360"/>
      </w:pPr>
      <w:rPr>
        <w:rFonts w:hint="default" w:ascii="Wingdings" w:hAnsi="Wingdings" w:eastAsia="Wingdings" w:cs="Wingdings"/>
      </w:rPr>
    </w:lvl>
  </w:abstractNum>
  <w:abstractNum w:abstractNumId="1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5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87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159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31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3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375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447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19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5914" w:hanging="360"/>
      </w:pPr>
      <w:rPr>
        <w:rFonts w:hint="default" w:ascii="Wingdings" w:hAnsi="Wingdings" w:eastAsia="Wingdings" w:cs="Wingdings"/>
      </w:rPr>
    </w:lvl>
  </w:abstractNum>
  <w:abstractNum w:abstractNumId="1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5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27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99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71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3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15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87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9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319" w:hanging="360"/>
      </w:pPr>
      <w:rPr>
        <w:rFonts w:hint="default" w:ascii="Wingdings" w:hAnsi="Wingdings" w:eastAsia="Wingdings" w:cs="Wingdings"/>
      </w:rPr>
    </w:lvl>
  </w:abstractNum>
  <w:num w:numId="1">
    <w:abstractNumId w:val="7"/>
  </w:num>
  <w:num w:numId="2">
    <w:abstractNumId w:val="4"/>
  </w:num>
  <w:num w:numId="3">
    <w:abstractNumId w:val="13"/>
  </w:num>
  <w:num w:numId="4">
    <w:abstractNumId w:val="35"/>
  </w:num>
  <w:num w:numId="5">
    <w:abstractNumId w:val="17"/>
  </w:num>
  <w:num w:numId="6">
    <w:abstractNumId w:val="23"/>
  </w:num>
  <w:num w:numId="7">
    <w:abstractNumId w:val="14"/>
  </w:num>
  <w:num w:numId="8">
    <w:abstractNumId w:val="32"/>
  </w:num>
  <w:num w:numId="9">
    <w:abstractNumId w:val="26"/>
  </w:num>
  <w:num w:numId="10">
    <w:abstractNumId w:val="8"/>
  </w:num>
  <w:num w:numId="11">
    <w:abstractNumId w:val="25"/>
  </w:num>
  <w:num w:numId="12">
    <w:abstractNumId w:val="22"/>
  </w:num>
  <w:num w:numId="13">
    <w:abstractNumId w:val="36"/>
  </w:num>
  <w:num w:numId="14">
    <w:abstractNumId w:val="11"/>
  </w:num>
  <w:num w:numId="15">
    <w:abstractNumId w:val="10"/>
  </w:num>
  <w:num w:numId="16">
    <w:abstractNumId w:val="6"/>
  </w:num>
  <w:num w:numId="17">
    <w:abstractNumId w:val="30"/>
  </w:num>
  <w:num w:numId="18">
    <w:abstractNumId w:val="16"/>
  </w:num>
  <w:num w:numId="19">
    <w:abstractNumId w:val="27"/>
  </w:num>
  <w:num w:numId="20">
    <w:abstractNumId w:val="19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15"/>
  </w:num>
  <w:num w:numId="24">
    <w:abstractNumId w:val="24"/>
  </w:num>
  <w:num w:numId="25">
    <w:abstractNumId w:val="0"/>
  </w:num>
  <w:num w:numId="26">
    <w:abstractNumId w:val="3"/>
  </w:num>
  <w:num w:numId="27">
    <w:abstractNumId w:val="2"/>
  </w:num>
  <w:num w:numId="28">
    <w:abstractNumId w:val="1"/>
  </w:num>
  <w:num w:numId="29">
    <w:abstractNumId w:val="21"/>
  </w:num>
  <w:num w:numId="30">
    <w:abstractNumId w:val="28"/>
  </w:num>
  <w:num w:numId="31">
    <w:abstractNumId w:val="37"/>
  </w:num>
  <w:num w:numId="32">
    <w:abstractNumId w:val="18"/>
  </w:num>
  <w:num w:numId="33">
    <w:abstractNumId w:val="34"/>
  </w:num>
  <w:num w:numId="34">
    <w:abstractNumId w:val="12"/>
  </w:num>
  <w:num w:numId="35">
    <w:abstractNumId w:val="9"/>
  </w:num>
  <w:num w:numId="36">
    <w:abstractNumId w:val="29"/>
  </w:num>
  <w:num w:numId="37">
    <w:abstractNumId w:val="33"/>
  </w:num>
  <w:num w:numId="38">
    <w:abstractNumId w:val="31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  <w:num w:numId="85">
    <w:abstractNumId w:val="84"/>
  </w:num>
  <w:num w:numId="86">
    <w:abstractNumId w:val="85"/>
  </w:num>
  <w:num w:numId="87">
    <w:abstractNumId w:val="86"/>
  </w:num>
  <w:num w:numId="88">
    <w:abstractNumId w:val="87"/>
  </w:num>
  <w:num w:numId="89">
    <w:abstractNumId w:val="88"/>
  </w:num>
  <w:num w:numId="90">
    <w:abstractNumId w:val="89"/>
  </w:num>
  <w:num w:numId="91">
    <w:abstractNumId w:val="90"/>
  </w:num>
  <w:num w:numId="92">
    <w:abstractNumId w:val="91"/>
  </w:num>
  <w:num w:numId="93">
    <w:abstractNumId w:val="92"/>
  </w:num>
  <w:num w:numId="94">
    <w:abstractNumId w:val="93"/>
  </w:num>
  <w:num w:numId="95">
    <w:abstractNumId w:val="94"/>
  </w:num>
  <w:num w:numId="96">
    <w:abstractNumId w:val="95"/>
  </w:num>
  <w:num w:numId="97">
    <w:abstractNumId w:val="96"/>
  </w:num>
  <w:num w:numId="98">
    <w:abstractNumId w:val="97"/>
  </w:num>
  <w:num w:numId="99">
    <w:abstractNumId w:val="98"/>
  </w:num>
  <w:num w:numId="100">
    <w:abstractNumId w:val="99"/>
  </w:num>
  <w:num w:numId="101">
    <w:abstractNumId w:val="100"/>
  </w:num>
  <w:num w:numId="102">
    <w:abstractNumId w:val="101"/>
  </w:num>
  <w:num w:numId="103">
    <w:abstractNumId w:val="102"/>
  </w:num>
  <w:num w:numId="104">
    <w:abstractNumId w:val="103"/>
  </w:num>
  <w:num w:numId="105">
    <w:abstractNumId w:val="104"/>
  </w:num>
  <w:num w:numId="106">
    <w:abstractNumId w:val="105"/>
  </w:num>
  <w:num w:numId="107">
    <w:abstractNumId w:val="106"/>
  </w:num>
  <w:num w:numId="108">
    <w:abstractNumId w:val="107"/>
  </w:num>
  <w:num w:numId="109">
    <w:abstractNumId w:val="108"/>
  </w:num>
  <w:num w:numId="110">
    <w:abstractNumId w:val="109"/>
  </w:num>
  <w:num w:numId="111">
    <w:abstractNumId w:val="110"/>
  </w:num>
  <w:num w:numId="112">
    <w:abstractNumId w:val="111"/>
  </w:num>
  <w:num w:numId="113">
    <w:abstractNumId w:val="112"/>
  </w:num>
  <w:num w:numId="114">
    <w:abstractNumId w:val="113"/>
  </w:num>
  <w:num w:numId="115">
    <w:abstractNumId w:val="114"/>
  </w:num>
  <w:num w:numId="116">
    <w:abstractNumId w:val="115"/>
  </w:num>
  <w:num w:numId="117">
    <w:abstractNumId w:val="116"/>
  </w:num>
  <w:num w:numId="118">
    <w:abstractNumId w:val="117"/>
  </w:num>
  <w:num w:numId="119">
    <w:abstractNumId w:val="118"/>
  </w:num>
  <w:num w:numId="120">
    <w:abstractNumId w:val="119"/>
  </w:num>
  <w:num w:numId="121">
    <w:abstractNumId w:val="120"/>
  </w:num>
  <w:num w:numId="122">
    <w:abstractNumId w:val="121"/>
  </w:num>
  <w:num w:numId="123">
    <w:abstractNumId w:val="122"/>
  </w:num>
  <w:num w:numId="124">
    <w:abstractNumId w:val="123"/>
  </w:num>
  <w:num w:numId="125">
    <w:abstractNumId w:val="124"/>
  </w:num>
  <w:num w:numId="126">
    <w:abstractNumId w:val="125"/>
  </w:num>
  <w:num w:numId="127">
    <w:abstractNumId w:val="126"/>
  </w:num>
  <w:num w:numId="128">
    <w:abstractNumId w:val="127"/>
  </w:num>
  <w:num w:numId="129">
    <w:abstractNumId w:val="128"/>
  </w:num>
  <w:num w:numId="130">
    <w:abstractNumId w:val="129"/>
  </w:num>
  <w:num w:numId="131">
    <w:abstractNumId w:val="130"/>
  </w:num>
  <w:num w:numId="132">
    <w:abstractNumId w:val="131"/>
  </w:num>
  <w:num w:numId="133">
    <w:abstractNumId w:val="132"/>
  </w:num>
  <w:num w:numId="134">
    <w:abstractNumId w:val="133"/>
  </w:num>
  <w:num w:numId="135">
    <w:abstractNumId w:val="134"/>
  </w:num>
  <w:num w:numId="136">
    <w:abstractNumId w:val="135"/>
  </w:num>
  <w:num w:numId="137">
    <w:abstractNumId w:val="136"/>
  </w:num>
  <w:num w:numId="138">
    <w:abstractNumId w:val="137"/>
  </w:num>
  <w:num w:numId="139">
    <w:abstractNumId w:val="138"/>
  </w:num>
  <w:num w:numId="140">
    <w:abstractNumId w:val="139"/>
  </w:num>
  <w:num w:numId="141">
    <w:abstractNumId w:val="140"/>
  </w:num>
  <w:num w:numId="142">
    <w:abstractNumId w:val="141"/>
  </w:num>
  <w:num w:numId="143">
    <w:abstractNumId w:val="142"/>
  </w:num>
  <w:num w:numId="144">
    <w:abstractNumId w:val="143"/>
  </w:num>
  <w:num w:numId="145">
    <w:abstractNumId w:val="144"/>
  </w:num>
  <w:num w:numId="146">
    <w:abstractNumId w:val="145"/>
  </w:num>
  <w:num w:numId="147">
    <w:abstractNumId w:val="146"/>
  </w:num>
  <w:num w:numId="148">
    <w:abstractNumId w:val="147"/>
  </w:num>
  <w:num w:numId="149">
    <w:abstractNumId w:val="148"/>
  </w:num>
  <w:num w:numId="150">
    <w:abstractNumId w:val="149"/>
  </w:num>
  <w:num w:numId="151">
    <w:abstractNumId w:val="150"/>
  </w:num>
  <w:num w:numId="152">
    <w:abstractNumId w:val="151"/>
  </w:num>
  <w:num w:numId="153">
    <w:abstractNumId w:val="152"/>
  </w:num>
  <w:num w:numId="154">
    <w:abstractNumId w:val="153"/>
  </w:num>
  <w:num w:numId="155">
    <w:abstractNumId w:val="154"/>
  </w:num>
  <w:num w:numId="156">
    <w:abstractNumId w:val="155"/>
  </w:num>
  <w:num w:numId="157">
    <w:abstractNumId w:val="15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82">
    <w:name w:val="Heading 1"/>
    <w:basedOn w:val="1154"/>
    <w:next w:val="1154"/>
    <w:link w:val="98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983">
    <w:name w:val="Heading 1 Char"/>
    <w:basedOn w:val="1155"/>
    <w:link w:val="982"/>
    <w:uiPriority w:val="9"/>
    <w:rPr>
      <w:rFonts w:ascii="Arial" w:hAnsi="Arial" w:eastAsia="Arial" w:cs="Arial"/>
      <w:sz w:val="40"/>
      <w:szCs w:val="40"/>
    </w:rPr>
  </w:style>
  <w:style w:type="paragraph" w:styleId="984">
    <w:name w:val="Heading 2"/>
    <w:basedOn w:val="1154"/>
    <w:next w:val="1154"/>
    <w:link w:val="9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985">
    <w:name w:val="Heading 2 Char"/>
    <w:basedOn w:val="1155"/>
    <w:link w:val="984"/>
    <w:uiPriority w:val="9"/>
    <w:rPr>
      <w:rFonts w:ascii="Arial" w:hAnsi="Arial" w:eastAsia="Arial" w:cs="Arial"/>
      <w:sz w:val="34"/>
    </w:rPr>
  </w:style>
  <w:style w:type="paragraph" w:styleId="986">
    <w:name w:val="Heading 3"/>
    <w:basedOn w:val="1154"/>
    <w:next w:val="1154"/>
    <w:link w:val="98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987">
    <w:name w:val="Heading 3 Char"/>
    <w:basedOn w:val="1155"/>
    <w:link w:val="986"/>
    <w:uiPriority w:val="9"/>
    <w:rPr>
      <w:rFonts w:ascii="Arial" w:hAnsi="Arial" w:eastAsia="Arial" w:cs="Arial"/>
      <w:sz w:val="30"/>
      <w:szCs w:val="30"/>
    </w:rPr>
  </w:style>
  <w:style w:type="paragraph" w:styleId="988">
    <w:name w:val="Heading 4"/>
    <w:basedOn w:val="1154"/>
    <w:next w:val="1154"/>
    <w:link w:val="98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89">
    <w:name w:val="Heading 4 Char"/>
    <w:basedOn w:val="1155"/>
    <w:link w:val="988"/>
    <w:uiPriority w:val="9"/>
    <w:rPr>
      <w:rFonts w:ascii="Arial" w:hAnsi="Arial" w:eastAsia="Arial" w:cs="Arial"/>
      <w:b/>
      <w:bCs/>
      <w:sz w:val="26"/>
      <w:szCs w:val="26"/>
    </w:rPr>
  </w:style>
  <w:style w:type="paragraph" w:styleId="990">
    <w:name w:val="Heading 5"/>
    <w:basedOn w:val="1154"/>
    <w:next w:val="1154"/>
    <w:link w:val="99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91">
    <w:name w:val="Heading 5 Char"/>
    <w:basedOn w:val="1155"/>
    <w:link w:val="990"/>
    <w:uiPriority w:val="9"/>
    <w:rPr>
      <w:rFonts w:ascii="Arial" w:hAnsi="Arial" w:eastAsia="Arial" w:cs="Arial"/>
      <w:b/>
      <w:bCs/>
      <w:sz w:val="24"/>
      <w:szCs w:val="24"/>
    </w:rPr>
  </w:style>
  <w:style w:type="paragraph" w:styleId="992">
    <w:name w:val="Heading 6"/>
    <w:basedOn w:val="1154"/>
    <w:next w:val="1154"/>
    <w:link w:val="99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93">
    <w:name w:val="Heading 6 Char"/>
    <w:basedOn w:val="1155"/>
    <w:link w:val="992"/>
    <w:uiPriority w:val="9"/>
    <w:rPr>
      <w:rFonts w:ascii="Arial" w:hAnsi="Arial" w:eastAsia="Arial" w:cs="Arial"/>
      <w:b/>
      <w:bCs/>
      <w:sz w:val="22"/>
      <w:szCs w:val="22"/>
    </w:rPr>
  </w:style>
  <w:style w:type="paragraph" w:styleId="994">
    <w:name w:val="Heading 7"/>
    <w:basedOn w:val="1154"/>
    <w:next w:val="1154"/>
    <w:link w:val="99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95">
    <w:name w:val="Heading 7 Char"/>
    <w:basedOn w:val="1155"/>
    <w:link w:val="9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96">
    <w:name w:val="Heading 8"/>
    <w:basedOn w:val="1154"/>
    <w:next w:val="1154"/>
    <w:link w:val="99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97">
    <w:name w:val="Heading 8 Char"/>
    <w:basedOn w:val="1155"/>
    <w:link w:val="996"/>
    <w:uiPriority w:val="9"/>
    <w:rPr>
      <w:rFonts w:ascii="Arial" w:hAnsi="Arial" w:eastAsia="Arial" w:cs="Arial"/>
      <w:i/>
      <w:iCs/>
      <w:sz w:val="22"/>
      <w:szCs w:val="22"/>
    </w:rPr>
  </w:style>
  <w:style w:type="paragraph" w:styleId="998">
    <w:name w:val="Heading 9"/>
    <w:basedOn w:val="1154"/>
    <w:next w:val="1154"/>
    <w:link w:val="99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99">
    <w:name w:val="Heading 9 Char"/>
    <w:basedOn w:val="1155"/>
    <w:link w:val="998"/>
    <w:uiPriority w:val="9"/>
    <w:rPr>
      <w:rFonts w:ascii="Arial" w:hAnsi="Arial" w:eastAsia="Arial" w:cs="Arial"/>
      <w:i/>
      <w:iCs/>
      <w:sz w:val="21"/>
      <w:szCs w:val="21"/>
    </w:rPr>
  </w:style>
  <w:style w:type="paragraph" w:styleId="1000">
    <w:name w:val="No Spacing"/>
    <w:uiPriority w:val="1"/>
    <w:qFormat/>
    <w:pPr>
      <w:spacing w:before="0" w:after="0" w:line="240" w:lineRule="auto"/>
    </w:pPr>
  </w:style>
  <w:style w:type="paragraph" w:styleId="1001">
    <w:name w:val="Title"/>
    <w:basedOn w:val="1154"/>
    <w:next w:val="1154"/>
    <w:link w:val="100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002">
    <w:name w:val="Title Char"/>
    <w:basedOn w:val="1155"/>
    <w:link w:val="1001"/>
    <w:uiPriority w:val="10"/>
    <w:rPr>
      <w:sz w:val="48"/>
      <w:szCs w:val="48"/>
    </w:rPr>
  </w:style>
  <w:style w:type="paragraph" w:styleId="1003">
    <w:name w:val="Subtitle"/>
    <w:basedOn w:val="1154"/>
    <w:next w:val="1154"/>
    <w:link w:val="1004"/>
    <w:uiPriority w:val="11"/>
    <w:qFormat/>
    <w:pPr>
      <w:spacing w:before="200" w:after="200"/>
    </w:pPr>
    <w:rPr>
      <w:sz w:val="24"/>
      <w:szCs w:val="24"/>
    </w:rPr>
  </w:style>
  <w:style w:type="character" w:styleId="1004">
    <w:name w:val="Subtitle Char"/>
    <w:basedOn w:val="1155"/>
    <w:link w:val="1003"/>
    <w:uiPriority w:val="11"/>
    <w:rPr>
      <w:sz w:val="24"/>
      <w:szCs w:val="24"/>
    </w:rPr>
  </w:style>
  <w:style w:type="paragraph" w:styleId="1005">
    <w:name w:val="Quote"/>
    <w:basedOn w:val="1154"/>
    <w:next w:val="1154"/>
    <w:link w:val="1006"/>
    <w:uiPriority w:val="29"/>
    <w:qFormat/>
    <w:pPr>
      <w:ind w:left="720" w:right="720"/>
    </w:pPr>
    <w:rPr>
      <w:i/>
    </w:rPr>
  </w:style>
  <w:style w:type="character" w:styleId="1006">
    <w:name w:val="Quote Char"/>
    <w:link w:val="1005"/>
    <w:uiPriority w:val="29"/>
    <w:rPr>
      <w:i/>
    </w:rPr>
  </w:style>
  <w:style w:type="paragraph" w:styleId="1007">
    <w:name w:val="Intense Quote"/>
    <w:basedOn w:val="1154"/>
    <w:next w:val="1154"/>
    <w:link w:val="100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08">
    <w:name w:val="Intense Quote Char"/>
    <w:link w:val="1007"/>
    <w:uiPriority w:val="30"/>
    <w:rPr>
      <w:i/>
    </w:rPr>
  </w:style>
  <w:style w:type="character" w:styleId="1009">
    <w:name w:val="Header Char"/>
    <w:basedOn w:val="1155"/>
    <w:link w:val="1196"/>
    <w:uiPriority w:val="99"/>
  </w:style>
  <w:style w:type="character" w:styleId="1010">
    <w:name w:val="Footer Char"/>
    <w:basedOn w:val="1155"/>
    <w:link w:val="1197"/>
    <w:uiPriority w:val="99"/>
  </w:style>
  <w:style w:type="character" w:styleId="1011">
    <w:name w:val="Caption Char"/>
    <w:basedOn w:val="1177"/>
    <w:link w:val="1197"/>
    <w:uiPriority w:val="99"/>
  </w:style>
  <w:style w:type="table" w:styleId="1012">
    <w:name w:val="Table Grid Light"/>
    <w:basedOn w:val="11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3">
    <w:name w:val="Plain Table 1"/>
    <w:basedOn w:val="11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14">
    <w:name w:val="Plain Table 2"/>
    <w:basedOn w:val="115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15">
    <w:name w:val="Plain Table 3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16">
    <w:name w:val="Plain Table 4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7">
    <w:name w:val="Plain Table 5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18">
    <w:name w:val="Grid Table 1 Light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9">
    <w:name w:val="Grid Table 1 Light - Accent 1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0">
    <w:name w:val="Grid Table 1 Light - Accent 2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1">
    <w:name w:val="Grid Table 1 Light - Accent 3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2">
    <w:name w:val="Grid Table 1 Light - Accent 4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3">
    <w:name w:val="Grid Table 1 Light - Accent 5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4">
    <w:name w:val="Grid Table 1 Light - Accent 6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5">
    <w:name w:val="Grid Table 2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>
    <w:name w:val="Grid Table 2 - Accent 1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>
    <w:name w:val="Grid Table 2 - Accent 2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>
    <w:name w:val="Grid Table 2 - Accent 3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>
    <w:name w:val="Grid Table 2 - Accent 4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>
    <w:name w:val="Grid Table 2 - Accent 5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>
    <w:name w:val="Grid Table 2 - Accent 6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2">
    <w:name w:val="Grid Table 3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3">
    <w:name w:val="Grid Table 3 - Accent 1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4">
    <w:name w:val="Grid Table 3 - Accent 2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5">
    <w:name w:val="Grid Table 3 - Accent 3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6">
    <w:name w:val="Grid Table 3 - Accent 4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7">
    <w:name w:val="Grid Table 3 - Accent 5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8">
    <w:name w:val="Grid Table 3 - Accent 6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9">
    <w:name w:val="Grid Table 4"/>
    <w:basedOn w:val="11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40">
    <w:name w:val="Grid Table 4 - Accent 1"/>
    <w:basedOn w:val="11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41">
    <w:name w:val="Grid Table 4 - Accent 2"/>
    <w:basedOn w:val="11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42">
    <w:name w:val="Grid Table 4 - Accent 3"/>
    <w:basedOn w:val="11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43">
    <w:name w:val="Grid Table 4 - Accent 4"/>
    <w:basedOn w:val="11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44">
    <w:name w:val="Grid Table 4 - Accent 5"/>
    <w:basedOn w:val="11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45">
    <w:name w:val="Grid Table 4 - Accent 6"/>
    <w:basedOn w:val="11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46">
    <w:name w:val="Grid Table 5 Dark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47">
    <w:name w:val="Grid Table 5 Dark- Accent 1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1048">
    <w:name w:val="Grid Table 5 Dark - Accent 2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49">
    <w:name w:val="Grid Table 5 Dark - Accent 3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50">
    <w:name w:val="Grid Table 5 Dark- Accent 4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51">
    <w:name w:val="Grid Table 5 Dark - Accent 5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1052">
    <w:name w:val="Grid Table 5 Dark - Accent 6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53">
    <w:name w:val="Grid Table 6 Colorful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54">
    <w:name w:val="Grid Table 6 Colorful - Accent 1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55">
    <w:name w:val="Grid Table 6 Colorful - Accent 2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56">
    <w:name w:val="Grid Table 6 Colorful - Accent 3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57">
    <w:name w:val="Grid Table 6 Colorful - Accent 4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58">
    <w:name w:val="Grid Table 6 Colorful - Accent 5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59">
    <w:name w:val="Grid Table 6 Colorful - Accent 6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60">
    <w:name w:val="Grid Table 7 Colorful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1">
    <w:name w:val="Grid Table 7 Colorful - Accent 1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2">
    <w:name w:val="Grid Table 7 Colorful - Accent 2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3">
    <w:name w:val="Grid Table 7 Colorful - Accent 3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4">
    <w:name w:val="Grid Table 7 Colorful - Accent 4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5">
    <w:name w:val="Grid Table 7 Colorful - Accent 5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6">
    <w:name w:val="Grid Table 7 Colorful - Accent 6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7">
    <w:name w:val="List Table 1 Light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8">
    <w:name w:val="List Table 1 Light - Accent 1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9">
    <w:name w:val="List Table 1 Light - Accent 2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0">
    <w:name w:val="List Table 1 Light - Accent 3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1">
    <w:name w:val="List Table 1 Light - Accent 4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2">
    <w:name w:val="List Table 1 Light - Accent 5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3">
    <w:name w:val="List Table 1 Light - Accent 6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4">
    <w:name w:val="List Table 2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75">
    <w:name w:val="List Table 2 - Accent 1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76">
    <w:name w:val="List Table 2 - Accent 2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77">
    <w:name w:val="List Table 2 - Accent 3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78">
    <w:name w:val="List Table 2 - Accent 4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79">
    <w:name w:val="List Table 2 - Accent 5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80">
    <w:name w:val="List Table 2 - Accent 6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81">
    <w:name w:val="List Table 3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2">
    <w:name w:val="List Table 3 - Accent 1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3">
    <w:name w:val="List Table 3 - Accent 2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4">
    <w:name w:val="List Table 3 - Accent 3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5">
    <w:name w:val="List Table 3 - Accent 4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6">
    <w:name w:val="List Table 3 - Accent 5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7">
    <w:name w:val="List Table 3 - Accent 6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8">
    <w:name w:val="List Table 4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9">
    <w:name w:val="List Table 4 - Accent 1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0">
    <w:name w:val="List Table 4 - Accent 2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1">
    <w:name w:val="List Table 4 - Accent 3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2">
    <w:name w:val="List Table 4 - Accent 4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3">
    <w:name w:val="List Table 4 - Accent 5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4">
    <w:name w:val="List Table 4 - Accent 6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5">
    <w:name w:val="List Table 5 Dark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6">
    <w:name w:val="List Table 5 Dark - Accent 1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7">
    <w:name w:val="List Table 5 Dark - Accent 2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8">
    <w:name w:val="List Table 5 Dark - Accent 3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9">
    <w:name w:val="List Table 5 Dark - Accent 4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0">
    <w:name w:val="List Table 5 Dark - Accent 5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1">
    <w:name w:val="List Table 5 Dark - Accent 6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2">
    <w:name w:val="List Table 6 Colorful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103">
    <w:name w:val="List Table 6 Colorful - Accent 1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104">
    <w:name w:val="List Table 6 Colorful - Accent 2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105">
    <w:name w:val="List Table 6 Colorful - Accent 3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106">
    <w:name w:val="List Table 6 Colorful - Accent 4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107">
    <w:name w:val="List Table 6 Colorful - Accent 5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108">
    <w:name w:val="List Table 6 Colorful - Accent 6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109">
    <w:name w:val="List Table 7 Colorful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110">
    <w:name w:val="List Table 7 Colorful - Accent 1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111">
    <w:name w:val="List Table 7 Colorful - Accent 2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112">
    <w:name w:val="List Table 7 Colorful - Accent 3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113">
    <w:name w:val="List Table 7 Colorful - Accent 4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114">
    <w:name w:val="List Table 7 Colorful - Accent 5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115">
    <w:name w:val="List Table 7 Colorful - Accent 6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116">
    <w:name w:val="Lined - Accent"/>
    <w:basedOn w:val="11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17">
    <w:name w:val="Lined - Accent 1"/>
    <w:basedOn w:val="11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118">
    <w:name w:val="Lined - Accent 2"/>
    <w:basedOn w:val="11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19">
    <w:name w:val="Lined - Accent 3"/>
    <w:basedOn w:val="11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20">
    <w:name w:val="Lined - Accent 4"/>
    <w:basedOn w:val="11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21">
    <w:name w:val="Lined - Accent 5"/>
    <w:basedOn w:val="11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122">
    <w:name w:val="Lined - Accent 6"/>
    <w:basedOn w:val="11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23">
    <w:name w:val="Bordered &amp; Lined - Accent"/>
    <w:basedOn w:val="11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24">
    <w:name w:val="Bordered &amp; Lined - Accent 1"/>
    <w:basedOn w:val="11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125">
    <w:name w:val="Bordered &amp; Lined - Accent 2"/>
    <w:basedOn w:val="11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26">
    <w:name w:val="Bordered &amp; Lined - Accent 3"/>
    <w:basedOn w:val="11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27">
    <w:name w:val="Bordered &amp; Lined - Accent 4"/>
    <w:basedOn w:val="11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28">
    <w:name w:val="Bordered &amp; Lined - Accent 5"/>
    <w:basedOn w:val="11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129">
    <w:name w:val="Bordered &amp; Lined - Accent 6"/>
    <w:basedOn w:val="11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30">
    <w:name w:val="Bordered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31">
    <w:name w:val="Bordered - Accent 1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32">
    <w:name w:val="Bordered - Accent 2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33">
    <w:name w:val="Bordered - Accent 3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34">
    <w:name w:val="Bordered - Accent 4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35">
    <w:name w:val="Bordered - Accent 5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36">
    <w:name w:val="Bordered - Accent 6"/>
    <w:basedOn w:val="11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137">
    <w:name w:val="footnote text"/>
    <w:basedOn w:val="1154"/>
    <w:link w:val="1138"/>
    <w:uiPriority w:val="99"/>
    <w:semiHidden/>
    <w:unhideWhenUsed/>
    <w:pPr>
      <w:spacing w:after="40" w:line="240" w:lineRule="auto"/>
    </w:pPr>
    <w:rPr>
      <w:sz w:val="18"/>
    </w:rPr>
  </w:style>
  <w:style w:type="character" w:styleId="1138">
    <w:name w:val="Footnote Text Char"/>
    <w:link w:val="1137"/>
    <w:uiPriority w:val="99"/>
    <w:rPr>
      <w:sz w:val="18"/>
    </w:rPr>
  </w:style>
  <w:style w:type="character" w:styleId="1139">
    <w:name w:val="footnote reference"/>
    <w:basedOn w:val="1155"/>
    <w:uiPriority w:val="99"/>
    <w:unhideWhenUsed/>
    <w:rPr>
      <w:vertAlign w:val="superscript"/>
    </w:rPr>
  </w:style>
  <w:style w:type="paragraph" w:styleId="1140">
    <w:name w:val="endnote text"/>
    <w:basedOn w:val="1154"/>
    <w:link w:val="1141"/>
    <w:uiPriority w:val="99"/>
    <w:semiHidden/>
    <w:unhideWhenUsed/>
    <w:pPr>
      <w:spacing w:after="0" w:line="240" w:lineRule="auto"/>
    </w:pPr>
    <w:rPr>
      <w:sz w:val="20"/>
    </w:rPr>
  </w:style>
  <w:style w:type="character" w:styleId="1141">
    <w:name w:val="Endnote Text Char"/>
    <w:link w:val="1140"/>
    <w:uiPriority w:val="99"/>
    <w:rPr>
      <w:sz w:val="20"/>
    </w:rPr>
  </w:style>
  <w:style w:type="character" w:styleId="1142">
    <w:name w:val="endnote reference"/>
    <w:basedOn w:val="1155"/>
    <w:uiPriority w:val="99"/>
    <w:semiHidden/>
    <w:unhideWhenUsed/>
    <w:rPr>
      <w:vertAlign w:val="superscript"/>
    </w:rPr>
  </w:style>
  <w:style w:type="paragraph" w:styleId="1143">
    <w:name w:val="toc 1"/>
    <w:basedOn w:val="1154"/>
    <w:next w:val="1154"/>
    <w:uiPriority w:val="39"/>
    <w:unhideWhenUsed/>
    <w:pPr>
      <w:ind w:left="0" w:right="0" w:firstLine="0"/>
      <w:spacing w:after="57"/>
    </w:pPr>
  </w:style>
  <w:style w:type="paragraph" w:styleId="1144">
    <w:name w:val="toc 2"/>
    <w:basedOn w:val="1154"/>
    <w:next w:val="1154"/>
    <w:uiPriority w:val="39"/>
    <w:unhideWhenUsed/>
    <w:pPr>
      <w:ind w:left="283" w:right="0" w:firstLine="0"/>
      <w:spacing w:after="57"/>
    </w:pPr>
  </w:style>
  <w:style w:type="paragraph" w:styleId="1145">
    <w:name w:val="toc 3"/>
    <w:basedOn w:val="1154"/>
    <w:next w:val="1154"/>
    <w:uiPriority w:val="39"/>
    <w:unhideWhenUsed/>
    <w:pPr>
      <w:ind w:left="567" w:right="0" w:firstLine="0"/>
      <w:spacing w:after="57"/>
    </w:pPr>
  </w:style>
  <w:style w:type="paragraph" w:styleId="1146">
    <w:name w:val="toc 4"/>
    <w:basedOn w:val="1154"/>
    <w:next w:val="1154"/>
    <w:uiPriority w:val="39"/>
    <w:unhideWhenUsed/>
    <w:pPr>
      <w:ind w:left="850" w:right="0" w:firstLine="0"/>
      <w:spacing w:after="57"/>
    </w:pPr>
  </w:style>
  <w:style w:type="paragraph" w:styleId="1147">
    <w:name w:val="toc 5"/>
    <w:basedOn w:val="1154"/>
    <w:next w:val="1154"/>
    <w:uiPriority w:val="39"/>
    <w:unhideWhenUsed/>
    <w:pPr>
      <w:ind w:left="1134" w:right="0" w:firstLine="0"/>
      <w:spacing w:after="57"/>
    </w:pPr>
  </w:style>
  <w:style w:type="paragraph" w:styleId="1148">
    <w:name w:val="toc 6"/>
    <w:basedOn w:val="1154"/>
    <w:next w:val="1154"/>
    <w:uiPriority w:val="39"/>
    <w:unhideWhenUsed/>
    <w:pPr>
      <w:ind w:left="1417" w:right="0" w:firstLine="0"/>
      <w:spacing w:after="57"/>
    </w:pPr>
  </w:style>
  <w:style w:type="paragraph" w:styleId="1149">
    <w:name w:val="toc 7"/>
    <w:basedOn w:val="1154"/>
    <w:next w:val="1154"/>
    <w:uiPriority w:val="39"/>
    <w:unhideWhenUsed/>
    <w:pPr>
      <w:ind w:left="1701" w:right="0" w:firstLine="0"/>
      <w:spacing w:after="57"/>
    </w:pPr>
  </w:style>
  <w:style w:type="paragraph" w:styleId="1150">
    <w:name w:val="toc 8"/>
    <w:basedOn w:val="1154"/>
    <w:next w:val="1154"/>
    <w:uiPriority w:val="39"/>
    <w:unhideWhenUsed/>
    <w:pPr>
      <w:ind w:left="1984" w:right="0" w:firstLine="0"/>
      <w:spacing w:after="57"/>
    </w:pPr>
  </w:style>
  <w:style w:type="paragraph" w:styleId="1151">
    <w:name w:val="toc 9"/>
    <w:basedOn w:val="1154"/>
    <w:next w:val="1154"/>
    <w:uiPriority w:val="39"/>
    <w:unhideWhenUsed/>
    <w:pPr>
      <w:ind w:left="2268" w:right="0" w:firstLine="0"/>
      <w:spacing w:after="57"/>
    </w:pPr>
  </w:style>
  <w:style w:type="paragraph" w:styleId="1152">
    <w:name w:val="TOC Heading"/>
    <w:uiPriority w:val="39"/>
    <w:unhideWhenUsed/>
  </w:style>
  <w:style w:type="paragraph" w:styleId="1153">
    <w:name w:val="table of figures"/>
    <w:basedOn w:val="1154"/>
    <w:next w:val="1154"/>
    <w:uiPriority w:val="99"/>
    <w:unhideWhenUsed/>
    <w:pPr>
      <w:spacing w:after="0" w:afterAutospacing="0"/>
    </w:pPr>
  </w:style>
  <w:style w:type="paragraph" w:styleId="1154" w:default="1">
    <w:name w:val="Normal"/>
    <w:qFormat/>
    <w:pPr>
      <w:spacing w:after="160" w:line="259" w:lineRule="auto"/>
    </w:pPr>
  </w:style>
  <w:style w:type="character" w:styleId="1155" w:default="1">
    <w:name w:val="Default Paragraph Font"/>
    <w:uiPriority w:val="1"/>
    <w:semiHidden/>
    <w:unhideWhenUsed/>
  </w:style>
  <w:style w:type="table" w:styleId="11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57" w:default="1">
    <w:name w:val="No List"/>
    <w:uiPriority w:val="99"/>
    <w:semiHidden/>
    <w:unhideWhenUsed/>
  </w:style>
  <w:style w:type="character" w:styleId="1158">
    <w:name w:val="annotation reference"/>
    <w:basedOn w:val="1155"/>
    <w:uiPriority w:val="99"/>
    <w:semiHidden/>
    <w:unhideWhenUsed/>
    <w:qFormat/>
    <w:rPr>
      <w:sz w:val="16"/>
      <w:szCs w:val="16"/>
    </w:rPr>
  </w:style>
  <w:style w:type="character" w:styleId="1159" w:customStyle="1">
    <w:name w:val="Текст примечания Знак"/>
    <w:basedOn w:val="1155"/>
    <w:uiPriority w:val="99"/>
    <w:semiHidden/>
    <w:qFormat/>
    <w:rPr>
      <w:sz w:val="20"/>
      <w:szCs w:val="20"/>
    </w:rPr>
  </w:style>
  <w:style w:type="character" w:styleId="1160" w:customStyle="1">
    <w:name w:val="Тема примечания Знак"/>
    <w:basedOn w:val="1159"/>
    <w:uiPriority w:val="99"/>
    <w:semiHidden/>
    <w:qFormat/>
    <w:rPr>
      <w:b/>
      <w:bCs/>
      <w:sz w:val="20"/>
      <w:szCs w:val="20"/>
    </w:rPr>
  </w:style>
  <w:style w:type="character" w:styleId="1161" w:customStyle="1">
    <w:name w:val="Текст выноски Знак"/>
    <w:basedOn w:val="1155"/>
    <w:uiPriority w:val="99"/>
    <w:semiHidden/>
    <w:qFormat/>
    <w:rPr>
      <w:rFonts w:ascii="Segoe UI" w:hAnsi="Segoe UI" w:cs="Segoe UI"/>
      <w:sz w:val="18"/>
      <w:szCs w:val="18"/>
    </w:rPr>
  </w:style>
  <w:style w:type="character" w:styleId="1162">
    <w:name w:val="Hyperlink"/>
    <w:basedOn w:val="1155"/>
    <w:uiPriority w:val="99"/>
    <w:unhideWhenUsed/>
    <w:rPr>
      <w:color w:val="0000ff"/>
      <w:u w:val="single"/>
    </w:rPr>
  </w:style>
  <w:style w:type="character" w:styleId="1163">
    <w:name w:val="FollowedHyperlink"/>
    <w:basedOn w:val="1155"/>
    <w:uiPriority w:val="99"/>
    <w:semiHidden/>
    <w:unhideWhenUsed/>
    <w:rPr>
      <w:color w:val="800080"/>
      <w:u w:val="single"/>
    </w:rPr>
  </w:style>
  <w:style w:type="character" w:styleId="1164" w:customStyle="1">
    <w:name w:val="Верхний колонтитул Знак"/>
    <w:basedOn w:val="1155"/>
    <w:uiPriority w:val="99"/>
    <w:qFormat/>
  </w:style>
  <w:style w:type="character" w:styleId="1165" w:customStyle="1">
    <w:name w:val="Нижний колонтитул Знак"/>
    <w:basedOn w:val="1155"/>
    <w:uiPriority w:val="99"/>
    <w:qFormat/>
  </w:style>
  <w:style w:type="character" w:styleId="1166" w:customStyle="1">
    <w:name w:val="Абзац списка Знак"/>
    <w:basedOn w:val="1155"/>
    <w:uiPriority w:val="34"/>
    <w:qFormat/>
  </w:style>
  <w:style w:type="character" w:styleId="1167">
    <w:name w:val="Emphasis"/>
    <w:basedOn w:val="1155"/>
    <w:uiPriority w:val="20"/>
    <w:qFormat/>
    <w:rPr>
      <w:i/>
      <w:iCs/>
    </w:rPr>
  </w:style>
  <w:style w:type="character" w:styleId="1168" w:customStyle="1">
    <w:name w:val="Основной текст Знак"/>
    <w:basedOn w:val="1155"/>
    <w:qFormat/>
  </w:style>
  <w:style w:type="character" w:styleId="1169" w:customStyle="1">
    <w:name w:val="Текст примечания Знак1"/>
    <w:basedOn w:val="1155"/>
    <w:link w:val="1180"/>
    <w:uiPriority w:val="99"/>
    <w:semiHidden/>
    <w:qFormat/>
    <w:rPr>
      <w:sz w:val="20"/>
      <w:szCs w:val="20"/>
    </w:rPr>
  </w:style>
  <w:style w:type="character" w:styleId="1170" w:customStyle="1">
    <w:name w:val="Верхний колонтитул Знак2"/>
    <w:basedOn w:val="1169"/>
    <w:link w:val="1196"/>
    <w:uiPriority w:val="99"/>
    <w:semiHidden/>
    <w:qFormat/>
    <w:rPr>
      <w:b/>
      <w:bCs/>
      <w:sz w:val="20"/>
      <w:szCs w:val="20"/>
    </w:rPr>
  </w:style>
  <w:style w:type="character" w:styleId="1171" w:customStyle="1">
    <w:name w:val="Верхний колонтитул Знак1"/>
    <w:basedOn w:val="1155"/>
    <w:uiPriority w:val="99"/>
    <w:semiHidden/>
    <w:qFormat/>
    <w:rPr>
      <w:rFonts w:ascii="Segoe UI" w:hAnsi="Segoe UI" w:cs="Segoe UI"/>
      <w:sz w:val="18"/>
      <w:szCs w:val="18"/>
    </w:rPr>
  </w:style>
  <w:style w:type="character" w:styleId="1172" w:customStyle="1">
    <w:name w:val="Нижний колонтитул Знак2"/>
    <w:basedOn w:val="1155"/>
    <w:link w:val="1197"/>
    <w:uiPriority w:val="99"/>
    <w:qFormat/>
  </w:style>
  <w:style w:type="character" w:styleId="1173" w:customStyle="1">
    <w:name w:val="Нижний колонтитул Знак1"/>
    <w:basedOn w:val="1155"/>
    <w:uiPriority w:val="99"/>
    <w:qFormat/>
  </w:style>
  <w:style w:type="paragraph" w:styleId="1174" w:customStyle="1">
    <w:name w:val="Heading"/>
    <w:basedOn w:val="1154"/>
    <w:next w:val="117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1175">
    <w:name w:val="Body Text"/>
    <w:basedOn w:val="1154"/>
    <w:pPr>
      <w:spacing w:after="140" w:line="276" w:lineRule="auto"/>
    </w:pPr>
  </w:style>
  <w:style w:type="paragraph" w:styleId="1176">
    <w:name w:val="List"/>
    <w:basedOn w:val="1175"/>
    <w:rPr>
      <w:rFonts w:cs="Mangal"/>
    </w:rPr>
  </w:style>
  <w:style w:type="paragraph" w:styleId="1177">
    <w:name w:val="Caption"/>
    <w:basedOn w:val="1154"/>
    <w:link w:val="1011"/>
    <w:qFormat/>
    <w:pPr>
      <w:spacing w:before="120" w:after="120"/>
      <w:suppressLineNumbers/>
    </w:pPr>
    <w:rPr>
      <w:rFonts w:cs="Mangal"/>
      <w:i/>
      <w:iCs/>
      <w:sz w:val="24"/>
      <w:szCs w:val="24"/>
    </w:rPr>
  </w:style>
  <w:style w:type="paragraph" w:styleId="1178" w:customStyle="1">
    <w:name w:val="Index"/>
    <w:basedOn w:val="1154"/>
    <w:qFormat/>
    <w:pPr>
      <w:suppressLineNumbers/>
    </w:pPr>
    <w:rPr>
      <w:rFonts w:cs="Mangal"/>
    </w:rPr>
  </w:style>
  <w:style w:type="paragraph" w:styleId="1179">
    <w:name w:val="List Paragraph"/>
    <w:basedOn w:val="1154"/>
    <w:uiPriority w:val="34"/>
    <w:qFormat/>
    <w:pPr>
      <w:contextualSpacing/>
      <w:ind w:left="720"/>
    </w:pPr>
  </w:style>
  <w:style w:type="paragraph" w:styleId="1180">
    <w:name w:val="annotation text"/>
    <w:basedOn w:val="1154"/>
    <w:link w:val="1169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1181">
    <w:name w:val="annotation subject"/>
    <w:basedOn w:val="1180"/>
    <w:next w:val="1180"/>
    <w:uiPriority w:val="99"/>
    <w:semiHidden/>
    <w:unhideWhenUsed/>
    <w:qFormat/>
    <w:rPr>
      <w:b/>
      <w:bCs/>
    </w:rPr>
  </w:style>
  <w:style w:type="paragraph" w:styleId="1182">
    <w:name w:val="Balloon Text"/>
    <w:basedOn w:val="115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183" w:customStyle="1">
    <w:name w:val="msonormal"/>
    <w:basedOn w:val="1154"/>
    <w:qFormat/>
    <w:pPr>
      <w:spacing w:beforeAutospacing="1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184" w:customStyle="1">
    <w:name w:val="xl67"/>
    <w:basedOn w:val="1154"/>
    <w:qFormat/>
    <w:pPr>
      <w:spacing w:beforeAutospacing="1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185" w:customStyle="1">
    <w:name w:val="xl68"/>
    <w:basedOn w:val="1154"/>
    <w:qFormat/>
    <w:pPr>
      <w:spacing w:beforeAutospacing="1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186" w:customStyle="1">
    <w:name w:val="xl69"/>
    <w:basedOn w:val="1154"/>
    <w:qFormat/>
    <w:pPr>
      <w:jc w:val="center"/>
      <w:spacing w:beforeAutospacing="1" w:afterAutospacing="1" w:line="240" w:lineRule="auto"/>
      <w:pBdr>
        <w:top w:val="single" w:color="000000" w:sz="8" w:space="0"/>
        <w:left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24"/>
      <w:szCs w:val="24"/>
    </w:rPr>
  </w:style>
  <w:style w:type="paragraph" w:styleId="1187" w:customStyle="1">
    <w:name w:val="xl70"/>
    <w:basedOn w:val="1154"/>
    <w:qFormat/>
    <w:pPr>
      <w:jc w:val="center"/>
      <w:spacing w:beforeAutospacing="1" w:afterAutospacing="1" w:line="240" w:lineRule="auto"/>
      <w:pBdr>
        <w:top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24"/>
      <w:szCs w:val="24"/>
    </w:rPr>
  </w:style>
  <w:style w:type="paragraph" w:styleId="1188" w:customStyle="1">
    <w:name w:val="xl71"/>
    <w:basedOn w:val="1154"/>
    <w:qFormat/>
    <w:pPr>
      <w:jc w:val="center"/>
      <w:spacing w:beforeAutospacing="1" w:afterAutospacing="1" w:line="240" w:lineRule="auto"/>
      <w:pBdr>
        <w:top w:val="single" w:color="000000" w:sz="8" w:space="0"/>
      </w:pBdr>
    </w:pPr>
    <w:rPr>
      <w:rFonts w:ascii="Times New Roman" w:hAnsi="Times New Roman" w:eastAsia="Times New Roman" w:cs="Times New Roman"/>
      <w:sz w:val="24"/>
      <w:szCs w:val="24"/>
    </w:rPr>
  </w:style>
  <w:style w:type="paragraph" w:styleId="1189" w:customStyle="1">
    <w:name w:val="xl72"/>
    <w:basedOn w:val="1154"/>
    <w:qFormat/>
    <w:pPr>
      <w:jc w:val="center"/>
      <w:spacing w:beforeAutospacing="1" w:afterAutospacing="1" w:line="240" w:lineRule="auto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1190" w:customStyle="1">
    <w:name w:val="xl73"/>
    <w:basedOn w:val="1154"/>
    <w:qFormat/>
    <w:pPr>
      <w:jc w:val="center"/>
      <w:spacing w:beforeAutospacing="1" w:afterAutospacing="1" w:line="240" w:lineRule="auto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1191" w:customStyle="1">
    <w:name w:val="xl74"/>
    <w:basedOn w:val="1154"/>
    <w:qFormat/>
    <w:pPr>
      <w:jc w:val="center"/>
      <w:spacing w:beforeAutospacing="1" w:afterAutospacing="1" w:line="240" w:lineRule="auto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1192" w:customStyle="1">
    <w:name w:val="xl75"/>
    <w:basedOn w:val="1154"/>
    <w:qFormat/>
    <w:pPr>
      <w:jc w:val="center"/>
      <w:spacing w:beforeAutospacing="1" w:afterAutospacing="1" w:line="240" w:lineRule="auto"/>
      <w:pBdr>
        <w:top w:val="single" w:color="000000" w:sz="8" w:space="0"/>
        <w:left w:val="single" w:color="000000" w:sz="12" w:space="0"/>
        <w:bottom w:val="single" w:color="000000" w:sz="8" w:space="0"/>
        <w:right w:val="single" w:color="000000" w:sz="12" w:space="0"/>
      </w:pBdr>
    </w:pPr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1193" w:customStyle="1">
    <w:name w:val="xl76"/>
    <w:basedOn w:val="1154"/>
    <w:qFormat/>
    <w:pPr>
      <w:jc w:val="center"/>
      <w:spacing w:beforeAutospacing="1" w:afterAutospacing="1" w:line="240" w:lineRule="auto"/>
      <w:pBdr>
        <w:top w:val="single" w:color="000000" w:sz="8" w:space="0"/>
        <w:left w:val="single" w:color="000000" w:sz="12" w:space="0"/>
        <w:bottom w:val="single" w:color="000000" w:sz="8" w:space="0"/>
        <w:right w:val="single" w:color="000000" w:sz="12" w:space="0"/>
      </w:pBdr>
    </w:pPr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1194" w:customStyle="1">
    <w:name w:val="xl77"/>
    <w:basedOn w:val="1154"/>
    <w:qFormat/>
    <w:pPr>
      <w:jc w:val="center"/>
      <w:spacing w:beforeAutospacing="1" w:afterAutospacing="1" w:line="240" w:lineRule="auto"/>
      <w:pBdr>
        <w:top w:val="single" w:color="000000" w:sz="8" w:space="0"/>
        <w:left w:val="single" w:color="000000" w:sz="12" w:space="0"/>
        <w:bottom w:val="single" w:color="000000" w:sz="8" w:space="0"/>
        <w:right w:val="single" w:color="000000" w:sz="12" w:space="0"/>
      </w:pBdr>
    </w:pPr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1195" w:customStyle="1">
    <w:name w:val="Header and Footer"/>
    <w:basedOn w:val="1154"/>
    <w:qFormat/>
  </w:style>
  <w:style w:type="paragraph" w:styleId="1196">
    <w:name w:val="Header"/>
    <w:basedOn w:val="1154"/>
    <w:link w:val="117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paragraph" w:styleId="1197">
    <w:name w:val="Footer"/>
    <w:basedOn w:val="1154"/>
    <w:link w:val="117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paragraph" w:styleId="1198">
    <w:name w:val="Revision"/>
    <w:uiPriority w:val="99"/>
    <w:semiHidden/>
    <w:qFormat/>
  </w:style>
  <w:style w:type="paragraph" w:styleId="1199" w:customStyle="1">
    <w:name w:val="Абзац списка1"/>
    <w:basedOn w:val="1154"/>
    <w:uiPriority w:val="34"/>
    <w:qFormat/>
    <w:pPr>
      <w:contextualSpacing/>
      <w:ind w:left="720"/>
      <w:spacing w:after="0" w:line="240" w:lineRule="auto"/>
      <w:widowControl w:val="off"/>
    </w:pPr>
    <w:rPr>
      <w:rFonts w:ascii="Times New Roman" w:hAnsi="Times New Roman" w:eastAsia="Times New Roman" w:cs="Times New Roman"/>
      <w:color w:val="00000a"/>
      <w:sz w:val="20"/>
      <w:szCs w:val="20"/>
    </w:rPr>
  </w:style>
  <w:style w:type="numbering" w:styleId="1200" w:customStyle="1">
    <w:name w:val="Нет списка1"/>
    <w:uiPriority w:val="99"/>
    <w:semiHidden/>
    <w:unhideWhenUsed/>
    <w:qFormat/>
  </w:style>
  <w:style w:type="table" w:styleId="1201">
    <w:name w:val="Table Grid"/>
    <w:basedOn w:val="1156"/>
    <w:uiPriority w:val="39"/>
    <w:rPr>
      <w:rFonts w:eastAsiaTheme="minorHAnsi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202" w:customStyle="1">
    <w:name w:val="Сетка таблицы1"/>
    <w:basedOn w:val="1156"/>
    <w:uiPriority w:val="39"/>
    <w:rPr>
      <w:rFonts w:eastAsiaTheme="minorHAnsi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03" w:customStyle="1">
    <w:name w:val="Table Heading"/>
    <w:basedOn w:val="1154"/>
    <w:qFormat/>
    <w:pPr>
      <w:jc w:val="center"/>
      <w:widowControl w:val="off"/>
      <w:suppressLineNumbers/>
    </w:pPr>
    <w:rPr>
      <w:rFonts w:ascii="Calibri" w:hAnsi="Calibri"/>
      <w:b/>
      <w:bCs/>
    </w:rPr>
  </w:style>
  <w:style w:type="table" w:styleId="1204" w:customStyle="1">
    <w:name w:val="Сетка таблицы2"/>
    <w:basedOn w:val="1156"/>
    <w:next w:val="1201"/>
    <w:uiPriority w:val="39"/>
    <w:rPr>
      <w:rFonts w:eastAsiaTheme="minorHAnsi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205" w:customStyle="1">
    <w:name w:val="Сетка таблицы3"/>
    <w:basedOn w:val="1156"/>
    <w:next w:val="1201"/>
    <w:uiPriority w:val="39"/>
    <w:rPr>
      <w:rFonts w:eastAsiaTheme="minorHAnsi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06" w:customStyle="1">
    <w:name w:val="Text body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14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Liberation Serif" w:hAnsi="Liberation Serif" w:eastAsia="SimSun" w:cs="Mang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zh-CN" w:bidi="hi-IN"/>
      <w14:ligatures w14:val="none"/>
    </w:rPr>
  </w:style>
  <w:style w:type="paragraph" w:styleId="1207" w:customStyle="1">
    <w:name w:val="ConsPlusNonformat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ourier New" w:hAnsi="Courier New" w:cs="Courier New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novoreshsko.nso.ru" TargetMode="External"/><Relationship Id="rId12" Type="http://schemas.openxmlformats.org/officeDocument/2006/relationships/hyperlink" Target="https://zhulancko.nso.ru" TargetMode="External"/><Relationship Id="rId13" Type="http://schemas.openxmlformats.org/officeDocument/2006/relationships/hyperlink" Target="https://kolcson.nso.ru" TargetMode="External"/><Relationship Id="rId14" Type="http://schemas.openxmlformats.org/officeDocument/2006/relationships/hyperlink" Target="https://reshet-club.nso.ru" TargetMode="External"/><Relationship Id="rId15" Type="http://schemas.openxmlformats.org/officeDocument/2006/relationships/hyperlink" Target="https://okcsag.nso.ru" TargetMode="External"/><Relationship Id="rId16" Type="http://schemas.openxmlformats.org/officeDocument/2006/relationships/hyperlink" Target="https://ak-kolyvan.nso.ru" TargetMode="External"/><Relationship Id="rId17" Type="http://schemas.openxmlformats.org/officeDocument/2006/relationships/hyperlink" Target="http://morozovodc.nso.ru" TargetMode="External"/><Relationship Id="rId18" Type="http://schemas.openxmlformats.org/officeDocument/2006/relationships/hyperlink" Target="https://krutologovosdk.nso.ru" TargetMode="External"/><Relationship Id="rId19" Type="http://schemas.openxmlformats.org/officeDocument/2006/relationships/hyperlink" Target="https://mzd-masl.nso.ru" TargetMode="External"/><Relationship Id="rId20" Type="http://schemas.openxmlformats.org/officeDocument/2006/relationships/hyperlink" Target="https://lib-bol.nso.ru" TargetMode="External"/><Relationship Id="rId21" Type="http://schemas.openxmlformats.org/officeDocument/2006/relationships/hyperlink" Target="https://biblioberdsk.nso.ru" TargetMode="External"/><Relationship Id="rId22" Type="http://schemas.openxmlformats.org/officeDocument/2006/relationships/hyperlink" Target="https://eris.nso.ru/is/197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3F55A-D260-4735-9961-C644C8F79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PNO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Татьяна Игоревна</dc:creator>
  <dc:description/>
  <dc:language>ru-RU</dc:language>
  <cp:revision>98</cp:revision>
  <dcterms:created xsi:type="dcterms:W3CDTF">2025-04-21T03:33:00Z</dcterms:created>
  <dcterms:modified xsi:type="dcterms:W3CDTF">2026-07-16T05:58:09Z</dcterms:modified>
</cp:coreProperties>
</file>